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E16E07B"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w:t>
      </w:r>
      <w:r w:rsidR="004060FC">
        <w:rPr>
          <w:sz w:val="24"/>
          <w:szCs w:val="24"/>
        </w:rPr>
        <w:t xml:space="preserve">that they are knowledgeable about the Firm’s business and operations </w:t>
      </w:r>
      <w:r w:rsidR="00B60488" w:rsidRPr="00824AC7">
        <w:rPr>
          <w:sz w:val="24"/>
          <w:szCs w:val="24"/>
        </w:rPr>
        <w:t>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4060FC">
        <w:rPr>
          <w:sz w:val="24"/>
          <w:szCs w:val="24"/>
        </w:rPr>
        <w:t xml:space="preserve">that the answers provided herein are true to the best of their knowledge and belief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 xml:space="preserve">The prices in the [bid/proposal], have been arrived at independently without collusion, consultation, communication or agreement, for the purpose of restricting competition, as to any matter relating to such prices with any other [bidder/proposer] or with any </w:t>
      </w:r>
      <w:proofErr w:type="gramStart"/>
      <w:r w:rsidRPr="00824AC7">
        <w:rPr>
          <w:sz w:val="24"/>
          <w:szCs w:val="24"/>
        </w:rPr>
        <w:t>competitor;</w:t>
      </w:r>
      <w:proofErr w:type="gramEnd"/>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w:t>
      </w:r>
      <w:proofErr w:type="gramStart"/>
      <w:r w:rsidR="009C7F3B" w:rsidRPr="00824AC7">
        <w:rPr>
          <w:sz w:val="24"/>
          <w:szCs w:val="24"/>
        </w:rPr>
        <w:t>NYS</w:t>
      </w:r>
      <w:proofErr w:type="gramEnd"/>
      <w:r w:rsidR="009C7F3B" w:rsidRPr="00824AC7">
        <w:rPr>
          <w:sz w:val="24"/>
          <w:szCs w:val="24"/>
        </w:rPr>
        <w:t xml:space="preserve">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w:t>
      </w:r>
      <w:proofErr w:type="gramStart"/>
      <w:r w:rsidRPr="00824AC7">
        <w:rPr>
          <w:sz w:val="24"/>
          <w:szCs w:val="24"/>
        </w:rPr>
        <w:t>NYS</w:t>
      </w:r>
      <w:proofErr w:type="gramEnd"/>
      <w:r w:rsidRPr="00824AC7">
        <w:rPr>
          <w:sz w:val="24"/>
          <w:szCs w:val="24"/>
        </w:rPr>
        <w:t xml:space="preserve">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proofErr w:type="gramStart"/>
      <w:r w:rsidR="00D748FA" w:rsidRPr="00D47966">
        <w:rPr>
          <w:sz w:val="24"/>
          <w:szCs w:val="24"/>
        </w:rPr>
        <w:t>)</w:t>
      </w:r>
      <w:r w:rsidR="003906C6" w:rsidRPr="00D47966">
        <w:rPr>
          <w:sz w:val="24"/>
          <w:szCs w:val="24"/>
        </w:rPr>
        <w:t>;</w:t>
      </w:r>
      <w:proofErr w:type="gramEnd"/>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 xml:space="preserve">was not </w:t>
      </w:r>
      <w:proofErr w:type="gramStart"/>
      <w:r w:rsidR="00D748FA" w:rsidRPr="00D47966">
        <w:rPr>
          <w:sz w:val="24"/>
          <w:szCs w:val="24"/>
        </w:rPr>
        <w:t>responsible</w:t>
      </w:r>
      <w:r w:rsidR="003906C6" w:rsidRPr="00D47966">
        <w:rPr>
          <w:sz w:val="24"/>
          <w:szCs w:val="24"/>
        </w:rPr>
        <w:t>;</w:t>
      </w:r>
      <w:proofErr w:type="gramEnd"/>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w:t>
      </w:r>
      <w:proofErr w:type="gramStart"/>
      <w:r w:rsidR="00D748FA" w:rsidRPr="00D47966">
        <w:rPr>
          <w:sz w:val="24"/>
          <w:szCs w:val="24"/>
        </w:rPr>
        <w:t>k(</w:t>
      </w:r>
      <w:proofErr w:type="gramEnd"/>
      <w:r w:rsidR="00D748FA" w:rsidRPr="00D47966">
        <w:rPr>
          <w:sz w:val="24"/>
          <w:szCs w:val="24"/>
        </w:rPr>
        <w:t>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47462CB" w:rsidR="00AA348F"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3FFED180" w14:textId="2DB7E77B" w:rsidR="002118D8" w:rsidRDefault="002118D8" w:rsidP="00AA348F">
      <w:pPr>
        <w:jc w:val="both"/>
        <w:rPr>
          <w:sz w:val="24"/>
          <w:szCs w:val="24"/>
        </w:rPr>
      </w:pPr>
    </w:p>
    <w:p w14:paraId="3D84AEBE" w14:textId="77777777" w:rsidR="008302C7" w:rsidRPr="00337DF7" w:rsidRDefault="008302C7" w:rsidP="008302C7">
      <w:pPr>
        <w:pStyle w:val="ListParagraph"/>
        <w:numPr>
          <w:ilvl w:val="0"/>
          <w:numId w:val="11"/>
        </w:numPr>
        <w:jc w:val="both"/>
        <w:rPr>
          <w:b/>
          <w:bCs/>
          <w:color w:val="000000"/>
          <w:sz w:val="24"/>
          <w:szCs w:val="24"/>
          <w:u w:val="single"/>
        </w:rPr>
      </w:pPr>
      <w:r w:rsidRPr="00337DF7">
        <w:rPr>
          <w:b/>
          <w:bCs/>
          <w:color w:val="000000"/>
          <w:sz w:val="24"/>
          <w:szCs w:val="24"/>
          <w:u w:val="single"/>
        </w:rPr>
        <w:t>Russia Divestment – EO 16</w:t>
      </w:r>
    </w:p>
    <w:p w14:paraId="26308F76" w14:textId="77777777" w:rsidR="008302C7" w:rsidRPr="00120680" w:rsidRDefault="008302C7" w:rsidP="00120680">
      <w:pPr>
        <w:pStyle w:val="ListParagraph"/>
        <w:ind w:left="360"/>
        <w:jc w:val="both"/>
        <w:rPr>
          <w:color w:val="000000"/>
          <w:sz w:val="24"/>
          <w:szCs w:val="24"/>
        </w:rPr>
      </w:pPr>
    </w:p>
    <w:p w14:paraId="2FFC6395" w14:textId="77777777" w:rsidR="008302C7" w:rsidRPr="00120680" w:rsidRDefault="008302C7" w:rsidP="00120680">
      <w:pPr>
        <w:jc w:val="both"/>
        <w:rPr>
          <w:color w:val="000000"/>
          <w:sz w:val="24"/>
          <w:szCs w:val="24"/>
        </w:rPr>
      </w:pPr>
      <w:r w:rsidRPr="00120680">
        <w:rPr>
          <w:color w:val="000000"/>
          <w:sz w:val="24"/>
          <w:szCs w:val="24"/>
        </w:rPr>
        <w:t>Executive Order No. 16 provides that “all Affected State Entities are directed to refrain from entering into any new contract or renewing any existing contract with an entity conducting business operations in Russia.”   The Executive Order remains in effect while sanctions imposed by the federal government are in effect.  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0850A13" w14:textId="77777777" w:rsidR="008302C7" w:rsidRPr="00120680" w:rsidRDefault="008302C7" w:rsidP="00120680">
      <w:pPr>
        <w:pStyle w:val="ListParagraph"/>
        <w:ind w:left="360"/>
        <w:jc w:val="both"/>
        <w:rPr>
          <w:color w:val="000000"/>
          <w:sz w:val="24"/>
          <w:szCs w:val="24"/>
        </w:rPr>
      </w:pPr>
    </w:p>
    <w:p w14:paraId="0AE01E32" w14:textId="77777777" w:rsidR="008302C7" w:rsidRPr="00120680" w:rsidRDefault="008302C7" w:rsidP="00120680">
      <w:pPr>
        <w:jc w:val="both"/>
        <w:rPr>
          <w:color w:val="000000"/>
          <w:sz w:val="24"/>
          <w:szCs w:val="24"/>
        </w:rPr>
      </w:pPr>
      <w:r w:rsidRPr="00120680">
        <w:rPr>
          <w:color w:val="000000"/>
          <w:sz w:val="24"/>
          <w:szCs w:val="24"/>
        </w:rPr>
        <w:lastRenderedPageBreak/>
        <w:t>That to the best of its knowledge and belief, the Firm and each person and each person signing on behalf of any other party, represents as follows:</w:t>
      </w:r>
    </w:p>
    <w:p w14:paraId="52F32CD8" w14:textId="77777777" w:rsidR="008302C7" w:rsidRPr="00120680" w:rsidRDefault="008302C7" w:rsidP="00120680">
      <w:pPr>
        <w:jc w:val="both"/>
        <w:rPr>
          <w:color w:val="000000"/>
          <w:sz w:val="24"/>
          <w:szCs w:val="24"/>
        </w:rPr>
      </w:pPr>
    </w:p>
    <w:p w14:paraId="30127BE2" w14:textId="37012417" w:rsidR="008302C7" w:rsidRPr="00120680" w:rsidRDefault="00514C16" w:rsidP="00120680">
      <w:pPr>
        <w:ind w:left="360"/>
        <w:jc w:val="both"/>
        <w:rPr>
          <w:color w:val="000000"/>
          <w:sz w:val="24"/>
          <w:szCs w:val="24"/>
        </w:rPr>
      </w:pPr>
      <w:r>
        <w:rPr>
          <w:color w:val="000000"/>
          <w:sz w:val="24"/>
          <w:szCs w:val="24"/>
          <w:u w:val="single"/>
        </w:rPr>
        <w:t xml:space="preserve">   </w:t>
      </w:r>
      <w:r w:rsidR="008302C7" w:rsidRPr="00120680">
        <w:rPr>
          <w:color w:val="000000"/>
          <w:sz w:val="24"/>
          <w:szCs w:val="24"/>
          <w:u w:val="single"/>
        </w:rPr>
        <w:t>____</w:t>
      </w:r>
      <w:r w:rsidR="008302C7" w:rsidRPr="00120680">
        <w:rPr>
          <w:color w:val="000000"/>
          <w:sz w:val="24"/>
          <w:szCs w:val="24"/>
          <w:u w:val="single"/>
        </w:rPr>
        <w:tab/>
      </w:r>
      <w:r w:rsidR="008302C7" w:rsidRPr="00120680">
        <w:rPr>
          <w:color w:val="000000"/>
          <w:sz w:val="24"/>
          <w:szCs w:val="24"/>
        </w:rPr>
        <w:tab/>
        <w:t>1. No, Vendor does not conduct business operations in Russia within the meaning of</w:t>
      </w:r>
      <w:r w:rsidR="00120680">
        <w:rPr>
          <w:color w:val="000000"/>
          <w:sz w:val="24"/>
          <w:szCs w:val="24"/>
        </w:rPr>
        <w:t xml:space="preserve"> </w:t>
      </w:r>
      <w:r w:rsidR="008302C7" w:rsidRPr="00120680">
        <w:rPr>
          <w:color w:val="000000"/>
          <w:sz w:val="24"/>
          <w:szCs w:val="24"/>
        </w:rPr>
        <w:t>Executive Order No. 16.</w:t>
      </w:r>
    </w:p>
    <w:p w14:paraId="50276956" w14:textId="77777777" w:rsidR="008302C7" w:rsidRPr="00120680" w:rsidRDefault="008302C7" w:rsidP="00120680">
      <w:pPr>
        <w:pStyle w:val="ListParagraph"/>
        <w:ind w:left="360"/>
        <w:jc w:val="both"/>
        <w:rPr>
          <w:color w:val="000000"/>
          <w:sz w:val="24"/>
          <w:szCs w:val="24"/>
        </w:rPr>
      </w:pPr>
    </w:p>
    <w:p w14:paraId="2DA53C43" w14:textId="24D574BC"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2.a.</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has taken steps to wind down business operations in Russia or is</w:t>
      </w:r>
      <w:r w:rsidR="00120680">
        <w:rPr>
          <w:color w:val="000000"/>
          <w:sz w:val="24"/>
          <w:szCs w:val="24"/>
        </w:rPr>
        <w:t xml:space="preserve"> </w:t>
      </w:r>
      <w:r w:rsidRPr="00120680">
        <w:rPr>
          <w:color w:val="000000"/>
          <w:sz w:val="24"/>
          <w:szCs w:val="24"/>
        </w:rPr>
        <w:t>in the process of winding down business operations in Russia. (Please provide a</w:t>
      </w:r>
      <w:r w:rsidR="00120680">
        <w:rPr>
          <w:color w:val="000000"/>
          <w:sz w:val="24"/>
          <w:szCs w:val="24"/>
        </w:rPr>
        <w:t xml:space="preserve"> </w:t>
      </w:r>
      <w:r w:rsidRPr="00120680">
        <w:rPr>
          <w:color w:val="000000"/>
          <w:sz w:val="24"/>
          <w:szCs w:val="24"/>
        </w:rPr>
        <w:t>detailed description of the wind down process and a schedule for completion.)</w:t>
      </w:r>
    </w:p>
    <w:p w14:paraId="37059B20" w14:textId="77777777" w:rsidR="008302C7" w:rsidRPr="00120680" w:rsidRDefault="008302C7" w:rsidP="00120680">
      <w:pPr>
        <w:pStyle w:val="ListParagraph"/>
        <w:ind w:left="360"/>
        <w:jc w:val="both"/>
        <w:rPr>
          <w:color w:val="000000"/>
          <w:sz w:val="24"/>
          <w:szCs w:val="24"/>
        </w:rPr>
      </w:pPr>
    </w:p>
    <w:p w14:paraId="700666E1" w14:textId="3A0155D3"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2.b.</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only to the extent necessary to provide vital health and safety</w:t>
      </w:r>
      <w:r w:rsidR="00120680">
        <w:rPr>
          <w:color w:val="000000"/>
          <w:sz w:val="24"/>
          <w:szCs w:val="24"/>
        </w:rPr>
        <w:t xml:space="preserve"> </w:t>
      </w:r>
      <w:r w:rsidRPr="00120680">
        <w:rPr>
          <w:color w:val="000000"/>
          <w:sz w:val="24"/>
          <w:szCs w:val="24"/>
        </w:rPr>
        <w:t>services within Russia or to comply with federal law, regulations, executive orders, or</w:t>
      </w:r>
      <w:r w:rsidR="00120680">
        <w:rPr>
          <w:color w:val="000000"/>
          <w:sz w:val="24"/>
          <w:szCs w:val="24"/>
        </w:rPr>
        <w:t xml:space="preserve"> </w:t>
      </w:r>
      <w:r w:rsidRPr="00120680">
        <w:rPr>
          <w:color w:val="000000"/>
          <w:sz w:val="24"/>
          <w:szCs w:val="24"/>
        </w:rPr>
        <w:t>directives. (Please provide a detailed description of the services being provided or</w:t>
      </w:r>
      <w:r w:rsidR="00120680">
        <w:rPr>
          <w:color w:val="000000"/>
          <w:sz w:val="24"/>
          <w:szCs w:val="24"/>
        </w:rPr>
        <w:t xml:space="preserve"> </w:t>
      </w:r>
      <w:r w:rsidRPr="00120680">
        <w:rPr>
          <w:color w:val="000000"/>
          <w:sz w:val="24"/>
          <w:szCs w:val="24"/>
        </w:rPr>
        <w:t>the relevant laws, regulations, etc.)</w:t>
      </w:r>
    </w:p>
    <w:p w14:paraId="40A5B169" w14:textId="77777777" w:rsidR="008302C7" w:rsidRPr="00120680" w:rsidRDefault="008302C7" w:rsidP="00120680">
      <w:pPr>
        <w:pStyle w:val="ListParagraph"/>
        <w:ind w:left="360"/>
        <w:jc w:val="both"/>
        <w:rPr>
          <w:color w:val="000000"/>
          <w:sz w:val="24"/>
          <w:szCs w:val="24"/>
        </w:rPr>
      </w:pPr>
    </w:p>
    <w:p w14:paraId="2F93E3BC" w14:textId="0F30B6D7"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________</w:t>
      </w:r>
      <w:r w:rsidRPr="00120680">
        <w:rPr>
          <w:color w:val="000000"/>
          <w:sz w:val="24"/>
          <w:szCs w:val="24"/>
        </w:rPr>
        <w:tab/>
      </w:r>
      <w:r w:rsidR="00120680">
        <w:rPr>
          <w:color w:val="000000"/>
          <w:sz w:val="24"/>
          <w:szCs w:val="24"/>
        </w:rPr>
        <w:tab/>
      </w:r>
      <w:r w:rsidRPr="00120680">
        <w:rPr>
          <w:color w:val="000000"/>
          <w:sz w:val="24"/>
          <w:szCs w:val="24"/>
        </w:rPr>
        <w:t>3. Yes, Vendor conducts business operations in Russia within the meaning of Executive</w:t>
      </w:r>
    </w:p>
    <w:p w14:paraId="420B1884" w14:textId="77777777" w:rsidR="008302C7" w:rsidRPr="00120680" w:rsidRDefault="008302C7" w:rsidP="008302C7">
      <w:pPr>
        <w:pStyle w:val="ListParagraph"/>
        <w:ind w:left="360"/>
        <w:jc w:val="both"/>
        <w:rPr>
          <w:color w:val="000000"/>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w:t>
      </w:r>
      <w:proofErr w:type="gramStart"/>
      <w:r w:rsidRPr="00824AC7">
        <w:rPr>
          <w:sz w:val="24"/>
          <w:szCs w:val="24"/>
        </w:rPr>
        <w:t>210.45, and</w:t>
      </w:r>
      <w:proofErr w:type="gramEnd"/>
      <w:r w:rsidRPr="00824AC7">
        <w:rPr>
          <w:sz w:val="24"/>
          <w:szCs w:val="24"/>
        </w:rPr>
        <w:t xml:space="preserve">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7BDD582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58BD157" w14:textId="0FEAFC81"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4E5AB1E" w14:textId="39E277F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020FEF2" w14:textId="7777777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w:t>
      </w:r>
      <w:proofErr w:type="gramStart"/>
      <w:r w:rsidRPr="00824AC7">
        <w:rPr>
          <w:sz w:val="24"/>
          <w:szCs w:val="24"/>
        </w:rPr>
        <w:t>consultants</w:t>
      </w:r>
      <w:proofErr w:type="gramEnd"/>
      <w:r w:rsidRPr="00824AC7">
        <w:rPr>
          <w:sz w:val="24"/>
          <w:szCs w:val="24"/>
        </w:rPr>
        <w:t xml:space="preserve">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and supports a fair, </w:t>
      </w:r>
      <w:proofErr w:type="gramStart"/>
      <w:r w:rsidRPr="00824AC7">
        <w:rPr>
          <w:sz w:val="24"/>
          <w:szCs w:val="24"/>
        </w:rPr>
        <w:t>open</w:t>
      </w:r>
      <w:proofErr w:type="gramEnd"/>
      <w:r w:rsidRPr="00824AC7">
        <w:rPr>
          <w:sz w:val="24"/>
          <w:szCs w:val="24"/>
        </w:rPr>
        <w:t xml:space="preserve">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 xml:space="preserve">To promote a working relationship with DASNY based on ethical business practices, contractors, </w:t>
      </w:r>
      <w:proofErr w:type="gramStart"/>
      <w:r w:rsidRPr="00824AC7">
        <w:rPr>
          <w:sz w:val="24"/>
          <w:szCs w:val="24"/>
        </w:rPr>
        <w:t>consultants</w:t>
      </w:r>
      <w:proofErr w:type="gramEnd"/>
      <w:r w:rsidRPr="00824AC7">
        <w:rPr>
          <w:sz w:val="24"/>
          <w:szCs w:val="24"/>
        </w:rPr>
        <w:t xml:space="preserve">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 xml:space="preserve">furnish all goods, materials and services to DASNY as contractually required and </w:t>
      </w:r>
      <w:proofErr w:type="gramStart"/>
      <w:r w:rsidRPr="00824AC7">
        <w:rPr>
          <w:sz w:val="24"/>
          <w:szCs w:val="24"/>
        </w:rPr>
        <w:t>specified;</w:t>
      </w:r>
      <w:proofErr w:type="gramEnd"/>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 xml:space="preserve">submit complete and accurate reports to DASNY and its representatives as </w:t>
      </w:r>
      <w:proofErr w:type="gramStart"/>
      <w:r w:rsidRPr="00824AC7">
        <w:rPr>
          <w:sz w:val="24"/>
          <w:szCs w:val="24"/>
        </w:rPr>
        <w:t>required;</w:t>
      </w:r>
      <w:proofErr w:type="gramEnd"/>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seek, solicit, demand or accept any information, verbal or written, from DASNY or its representatives that provides an unfair advantage over a </w:t>
      </w:r>
      <w:proofErr w:type="gramStart"/>
      <w:r w:rsidRPr="00824AC7">
        <w:rPr>
          <w:sz w:val="24"/>
          <w:szCs w:val="24"/>
        </w:rPr>
        <w:t>competitor;</w:t>
      </w:r>
      <w:proofErr w:type="gramEnd"/>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engage in any activity or course of conduct that restricts open and fair competition on Authority-related projects and </w:t>
      </w:r>
      <w:proofErr w:type="gramStart"/>
      <w:r w:rsidRPr="00824AC7">
        <w:rPr>
          <w:sz w:val="24"/>
          <w:szCs w:val="24"/>
        </w:rPr>
        <w:t>transactions;</w:t>
      </w:r>
      <w:proofErr w:type="gramEnd"/>
    </w:p>
    <w:p w14:paraId="62555CAB" w14:textId="26F1DEE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r w:rsidR="00F039A0" w:rsidRPr="00824AC7">
        <w:rPr>
          <w:sz w:val="24"/>
          <w:szCs w:val="24"/>
        </w:rPr>
        <w:t>the appearance</w:t>
      </w:r>
      <w:r w:rsidRPr="00824AC7">
        <w:rPr>
          <w:sz w:val="24"/>
          <w:szCs w:val="24"/>
        </w:rPr>
        <w:t xml:space="preserve"> of a conflict of </w:t>
      </w:r>
      <w:proofErr w:type="gramStart"/>
      <w:r w:rsidRPr="00824AC7">
        <w:rPr>
          <w:sz w:val="24"/>
          <w:szCs w:val="24"/>
        </w:rPr>
        <w:t>interest;</w:t>
      </w:r>
      <w:proofErr w:type="gramEnd"/>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w:t>
      </w:r>
      <w:proofErr w:type="gramStart"/>
      <w:r w:rsidRPr="00824AC7">
        <w:rPr>
          <w:sz w:val="24"/>
          <w:szCs w:val="24"/>
        </w:rPr>
        <w:t>consultant</w:t>
      </w:r>
      <w:proofErr w:type="gramEnd"/>
      <w:r w:rsidRPr="00824AC7">
        <w:rPr>
          <w:sz w:val="24"/>
          <w:szCs w:val="24"/>
        </w:rPr>
        <w:t xml:space="preserve">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w:t>
      </w:r>
      <w:proofErr w:type="gramStart"/>
      <w:r w:rsidRPr="00824AC7">
        <w:rPr>
          <w:sz w:val="24"/>
          <w:szCs w:val="24"/>
        </w:rPr>
        <w:t>consultants</w:t>
      </w:r>
      <w:proofErr w:type="gramEnd"/>
      <w:r w:rsidRPr="00824AC7">
        <w:rPr>
          <w:sz w:val="24"/>
          <w:szCs w:val="24"/>
        </w:rPr>
        <w:t xml:space="preserve">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w:t>
      </w:r>
      <w:proofErr w:type="gramStart"/>
      <w:r w:rsidRPr="00824AC7">
        <w:rPr>
          <w:sz w:val="24"/>
          <w:szCs w:val="24"/>
        </w:rPr>
        <w:t>consultants</w:t>
      </w:r>
      <w:proofErr w:type="gramEnd"/>
      <w:r w:rsidRPr="00824AC7">
        <w:rPr>
          <w:sz w:val="24"/>
          <w:szCs w:val="24"/>
        </w:rPr>
        <w:t xml:space="preserve"> and vendors prior to the awarding of contracts or issuing of purchase orders.</w:t>
      </w:r>
    </w:p>
    <w:p w14:paraId="0569A285" w14:textId="77777777" w:rsidR="00AD51D4" w:rsidRPr="00824AC7" w:rsidRDefault="00AD51D4" w:rsidP="00AD51D4">
      <w:pPr>
        <w:jc w:val="both"/>
        <w:rPr>
          <w:sz w:val="24"/>
          <w:szCs w:val="24"/>
        </w:rPr>
      </w:pPr>
    </w:p>
    <w:p w14:paraId="1911F538" w14:textId="77777777" w:rsidR="009564E7" w:rsidRDefault="009564E7">
      <w:pPr>
        <w:overflowPunct/>
        <w:autoSpaceDE/>
        <w:autoSpaceDN/>
        <w:adjustRightInd/>
        <w:textAlignment w:val="auto"/>
        <w:rPr>
          <w:b/>
          <w:sz w:val="24"/>
          <w:szCs w:val="24"/>
        </w:rPr>
      </w:pPr>
      <w:r>
        <w:rPr>
          <w:b/>
          <w:sz w:val="24"/>
          <w:szCs w:val="24"/>
        </w:rPr>
        <w:br w:type="page"/>
      </w:r>
    </w:p>
    <w:p w14:paraId="408C6B4F" w14:textId="5CA74BC0" w:rsidR="00AD51D4" w:rsidRPr="00824AC7" w:rsidRDefault="00AD51D4" w:rsidP="00AD51D4">
      <w:pPr>
        <w:numPr>
          <w:ilvl w:val="0"/>
          <w:numId w:val="18"/>
        </w:numPr>
        <w:contextualSpacing/>
        <w:jc w:val="both"/>
        <w:rPr>
          <w:b/>
          <w:sz w:val="24"/>
          <w:szCs w:val="24"/>
        </w:rPr>
      </w:pPr>
      <w:r w:rsidRPr="00824AC7">
        <w:rPr>
          <w:b/>
          <w:sz w:val="24"/>
          <w:szCs w:val="24"/>
        </w:rPr>
        <w:lastRenderedPageBreak/>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w:t>
      </w:r>
      <w:proofErr w:type="gramStart"/>
      <w:r w:rsidR="00AD51D4" w:rsidRPr="00824AC7">
        <w:rPr>
          <w:sz w:val="24"/>
          <w:szCs w:val="24"/>
        </w:rPr>
        <w:t>consultants</w:t>
      </w:r>
      <w:proofErr w:type="gramEnd"/>
      <w:r w:rsidR="00AD51D4" w:rsidRPr="00824AC7">
        <w:rPr>
          <w:sz w:val="24"/>
          <w:szCs w:val="24"/>
        </w:rPr>
        <w:t xml:space="preserve">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w:t>
      </w:r>
      <w:proofErr w:type="gramStart"/>
      <w:r w:rsidR="00AD51D4" w:rsidRPr="00824AC7">
        <w:rPr>
          <w:sz w:val="24"/>
          <w:szCs w:val="24"/>
        </w:rPr>
        <w:t>manner in which</w:t>
      </w:r>
      <w:proofErr w:type="gramEnd"/>
      <w:r w:rsidR="00AD51D4" w:rsidRPr="00824AC7">
        <w:rPr>
          <w:sz w:val="24"/>
          <w:szCs w:val="24"/>
        </w:rPr>
        <w:t xml:space="preserve"> </w:t>
      </w:r>
      <w:r w:rsidRPr="00824AC7">
        <w:rPr>
          <w:sz w:val="24"/>
          <w:szCs w:val="24"/>
        </w:rPr>
        <w:t>DASNY</w:t>
      </w:r>
      <w:r w:rsidR="00AD51D4" w:rsidRPr="00824AC7">
        <w:rPr>
          <w:sz w:val="24"/>
          <w:szCs w:val="24"/>
        </w:rPr>
        <w:t xml:space="preserve"> employees are required to interact with contractors, consultants and vendors.  Additionally, 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w:t>
      </w:r>
      <w:proofErr w:type="gramStart"/>
      <w:r w:rsidRPr="00824AC7">
        <w:rPr>
          <w:sz w:val="24"/>
          <w:szCs w:val="24"/>
        </w:rPr>
        <w:t>under circumstances in which</w:t>
      </w:r>
      <w:proofErr w:type="gramEnd"/>
      <w:r w:rsidRPr="00824AC7">
        <w:rPr>
          <w:sz w:val="24"/>
          <w:szCs w:val="24"/>
        </w:rPr>
        <w:t xml:space="preserve">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FF936E5" w14:textId="71DF0E8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r w:rsidR="00F039A0" w:rsidRPr="00824AC7">
        <w:rPr>
          <w:sz w:val="24"/>
          <w:szCs w:val="24"/>
        </w:rPr>
        <w:t>any official</w:t>
      </w:r>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forbearance or promise.  Any firm or its agents, either doing business or seeking to do business with DASNY (contractors, consultants, vendors, etc.), is prohibited from directly or indirectly offering or giving any gifts, even gifts of nominal </w:t>
      </w:r>
      <w:proofErr w:type="gramStart"/>
      <w:r w:rsidRPr="00824AC7">
        <w:rPr>
          <w:sz w:val="24"/>
          <w:szCs w:val="24"/>
        </w:rPr>
        <w:t>value,  to</w:t>
      </w:r>
      <w:proofErr w:type="gramEnd"/>
      <w:r w:rsidRPr="00824AC7">
        <w:rPr>
          <w:sz w:val="24"/>
          <w:szCs w:val="24"/>
        </w:rPr>
        <w:t xml:space="preserve">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w:t>
      </w:r>
      <w:proofErr w:type="gramStart"/>
      <w:r w:rsidRPr="00824AC7">
        <w:rPr>
          <w:sz w:val="24"/>
          <w:szCs w:val="24"/>
        </w:rPr>
        <w:t>conflict of interest</w:t>
      </w:r>
      <w:proofErr w:type="gramEnd"/>
      <w:r w:rsidRPr="00824AC7">
        <w:rPr>
          <w:sz w:val="24"/>
          <w:szCs w:val="24"/>
        </w:rPr>
        <w:t xml:space="preserve"> situation does not arise.  DASNY reserves the right to request that contractors, </w:t>
      </w:r>
      <w:proofErr w:type="gramStart"/>
      <w:r w:rsidRPr="00824AC7">
        <w:rPr>
          <w:sz w:val="24"/>
          <w:szCs w:val="24"/>
        </w:rPr>
        <w:t>consultants</w:t>
      </w:r>
      <w:proofErr w:type="gramEnd"/>
      <w:r w:rsidRPr="00824AC7">
        <w:rPr>
          <w:sz w:val="24"/>
          <w:szCs w:val="24"/>
        </w:rPr>
        <w:t xml:space="preserve">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0E0A3FF3" w:rsidR="00AD51D4" w:rsidRPr="00824AC7" w:rsidRDefault="00AD51D4" w:rsidP="009564E7">
      <w:pPr>
        <w:contextualSpacing/>
        <w:jc w:val="both"/>
        <w:rPr>
          <w:sz w:val="24"/>
          <w:szCs w:val="24"/>
        </w:rPr>
      </w:pPr>
      <w:r w:rsidRPr="00824AC7">
        <w:rPr>
          <w:b/>
          <w:sz w:val="24"/>
          <w:szCs w:val="24"/>
        </w:rPr>
        <w:lastRenderedPageBreak/>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w:t>
      </w:r>
      <w:proofErr w:type="gramStart"/>
      <w:r w:rsidRPr="00824AC7">
        <w:rPr>
          <w:sz w:val="24"/>
          <w:szCs w:val="24"/>
        </w:rPr>
        <w:t>consultants</w:t>
      </w:r>
      <w:proofErr w:type="gramEnd"/>
      <w:r w:rsidRPr="00824AC7">
        <w:rPr>
          <w:sz w:val="24"/>
          <w:szCs w:val="24"/>
        </w:rPr>
        <w:t xml:space="preserve"> and vendors may hire former </w:t>
      </w:r>
      <w:r w:rsidR="001866A1" w:rsidRPr="00824AC7">
        <w:rPr>
          <w:sz w:val="24"/>
          <w:szCs w:val="24"/>
        </w:rPr>
        <w:t>DASNY</w:t>
      </w:r>
      <w:r w:rsidRPr="00824AC7">
        <w:rPr>
          <w:sz w:val="24"/>
          <w:szCs w:val="24"/>
        </w:rPr>
        <w:t xml:space="preserve"> employees.  However, </w:t>
      </w:r>
      <w:proofErr w:type="gramStart"/>
      <w:r w:rsidRPr="00824AC7">
        <w:rPr>
          <w:sz w:val="24"/>
          <w:szCs w:val="24"/>
        </w:rPr>
        <w:t>as a general rule</w:t>
      </w:r>
      <w:proofErr w:type="gramEnd"/>
      <w:r w:rsidRPr="00824AC7">
        <w:rPr>
          <w:sz w:val="24"/>
          <w:szCs w:val="24"/>
        </w:rPr>
        <w:t xml:space="preserve">, former employees of DASNY may neither appear nor practice before DASNY, nor receive 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w:t>
      </w:r>
      <w:proofErr w:type="gramStart"/>
      <w:r w:rsidRPr="00824AC7">
        <w:rPr>
          <w:sz w:val="24"/>
          <w:szCs w:val="24"/>
        </w:rPr>
        <w:t>participated</w:t>
      </w:r>
      <w:proofErr w:type="gramEnd"/>
      <w:r w:rsidRPr="00824AC7">
        <w:rPr>
          <w:sz w:val="24"/>
          <w:szCs w:val="24"/>
        </w:rPr>
        <w:t xml:space="preserve">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863" w14:textId="77777777" w:rsidR="008C2339" w:rsidRDefault="008C2339" w:rsidP="007216BA">
      <w:r>
        <w:separator/>
      </w:r>
    </w:p>
  </w:endnote>
  <w:endnote w:type="continuationSeparator" w:id="0">
    <w:p w14:paraId="2F13BB49" w14:textId="77777777" w:rsidR="008C2339" w:rsidRDefault="008C2339"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3D8" w14:textId="77777777" w:rsidR="00120680" w:rsidRDefault="0012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174" w14:textId="26B40CC4" w:rsidR="00F039A0" w:rsidRDefault="00F039A0">
    <w:pPr>
      <w:pStyle w:val="Footer"/>
      <w:jc w:val="right"/>
    </w:pPr>
  </w:p>
  <w:p w14:paraId="763CF26E" w14:textId="6C07E6F6" w:rsidR="00F039A0" w:rsidRDefault="00F039A0" w:rsidP="00F039A0">
    <w:pPr>
      <w:pStyle w:val="Footer"/>
      <w:pBdr>
        <w:top w:val="thinThickSmallGap" w:sz="24" w:space="1" w:color="622423" w:themeColor="accent2" w:themeShade="7F"/>
      </w:pBdr>
      <w:rPr>
        <w:rFonts w:asciiTheme="majorHAnsi" w:hAnsiTheme="majorHAnsi"/>
      </w:rPr>
    </w:pPr>
    <w:r>
      <w:rPr>
        <w:rFonts w:asciiTheme="majorHAnsi" w:hAnsiTheme="majorHAnsi"/>
      </w:rPr>
      <w:t>OMNIBUS PROCUREMENT CERTIFICATION</w:t>
    </w:r>
  </w:p>
  <w:p w14:paraId="53E713CF" w14:textId="3C22516D" w:rsidR="00F039A0" w:rsidRDefault="00120680" w:rsidP="00F039A0">
    <w:pPr>
      <w:pStyle w:val="Footer"/>
      <w:jc w:val="right"/>
    </w:pPr>
    <w:r>
      <w:rPr>
        <w:rFonts w:asciiTheme="majorHAnsi" w:hAnsiTheme="majorHAnsi"/>
      </w:rPr>
      <w:t>October 14, 2022</w:t>
    </w:r>
    <w:r w:rsidR="00F039A0">
      <w:rPr>
        <w:rFonts w:asciiTheme="majorHAnsi" w:hAnsiTheme="majorHAnsi"/>
      </w:rPr>
      <w:ptab w:relativeTo="margin" w:alignment="right" w:leader="none"/>
    </w:r>
    <w:r w:rsidR="00F039A0">
      <w:rPr>
        <w:rFonts w:asciiTheme="majorHAnsi" w:hAnsiTheme="majorHAnsi"/>
      </w:rPr>
      <w:t xml:space="preserve">Page </w:t>
    </w:r>
    <w:sdt>
      <w:sdtPr>
        <w:id w:val="-1833362291"/>
        <w:docPartObj>
          <w:docPartGallery w:val="Page Numbers (Bottom of Page)"/>
          <w:docPartUnique/>
        </w:docPartObj>
      </w:sdtPr>
      <w:sdtEndPr>
        <w:rPr>
          <w:noProof/>
        </w:rPr>
      </w:sdtEndPr>
      <w:sdtContent>
        <w:r w:rsidR="00F039A0">
          <w:fldChar w:fldCharType="begin"/>
        </w:r>
        <w:r w:rsidR="00F039A0">
          <w:instrText xml:space="preserve"> PAGE   \* MERGEFORMAT </w:instrText>
        </w:r>
        <w:r w:rsidR="00F039A0">
          <w:fldChar w:fldCharType="separate"/>
        </w:r>
        <w:r w:rsidR="00F039A0">
          <w:t>3</w:t>
        </w:r>
        <w:r w:rsidR="00F039A0">
          <w:rPr>
            <w:noProof/>
          </w:rPr>
          <w:fldChar w:fldCharType="end"/>
        </w:r>
      </w:sdtContent>
    </w:sdt>
  </w:p>
  <w:p w14:paraId="2FA3438E" w14:textId="62EFD1BA" w:rsidR="00806DD4" w:rsidRDefault="00806DD4" w:rsidP="00F0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BE8" w14:textId="77777777" w:rsidR="00120680" w:rsidRDefault="0012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184" w14:textId="77777777" w:rsidR="008C2339" w:rsidRDefault="008C2339" w:rsidP="007216BA">
      <w:r>
        <w:separator/>
      </w:r>
    </w:p>
  </w:footnote>
  <w:footnote w:type="continuationSeparator" w:id="0">
    <w:p w14:paraId="6853B3B2" w14:textId="77777777" w:rsidR="008C2339" w:rsidRDefault="008C2339"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2AE6" w14:textId="77777777" w:rsidR="00120680" w:rsidRDefault="0012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06346761"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06715AF6" w:rsidR="00830417" w:rsidRDefault="00194611" w:rsidP="00F6116B">
    <w:pPr>
      <w:pStyle w:val="Header"/>
      <w:jc w:val="center"/>
      <w:rPr>
        <w:sz w:val="22"/>
        <w:szCs w:val="22"/>
      </w:rPr>
    </w:pPr>
    <w:r>
      <w:rPr>
        <w:sz w:val="22"/>
        <w:szCs w:val="22"/>
      </w:rPr>
      <w:t>CERTIF</w:t>
    </w:r>
    <w:r w:rsidR="005404BB">
      <w:rPr>
        <w:sz w:val="22"/>
        <w:szCs w:val="22"/>
      </w:rPr>
      <w:t>I</w:t>
    </w:r>
    <w:r>
      <w:rPr>
        <w:sz w:val="22"/>
        <w:szCs w:val="22"/>
      </w:rPr>
      <w:t>CATION</w:t>
    </w:r>
  </w:p>
  <w:p w14:paraId="75B5CC5C" w14:textId="77777777" w:rsidR="00A861CB" w:rsidRPr="00F6116B" w:rsidRDefault="00A861CB" w:rsidP="00F6116B">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2D9C" w14:textId="77777777" w:rsidR="00120680" w:rsidRDefault="0012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BE5AF600"/>
    <w:lvl w:ilvl="0" w:tplc="F2FC45EC">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AD0EA768"/>
    <w:lvl w:ilvl="0" w:tplc="C86EAA4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874993">
    <w:abstractNumId w:val="8"/>
  </w:num>
  <w:num w:numId="2" w16cid:durableId="1661544467">
    <w:abstractNumId w:val="21"/>
  </w:num>
  <w:num w:numId="3" w16cid:durableId="1488012790">
    <w:abstractNumId w:val="6"/>
  </w:num>
  <w:num w:numId="4" w16cid:durableId="1071662504">
    <w:abstractNumId w:val="19"/>
  </w:num>
  <w:num w:numId="5" w16cid:durableId="838347786">
    <w:abstractNumId w:val="0"/>
  </w:num>
  <w:num w:numId="6" w16cid:durableId="1169515509">
    <w:abstractNumId w:val="1"/>
  </w:num>
  <w:num w:numId="7" w16cid:durableId="1293704825">
    <w:abstractNumId w:val="3"/>
  </w:num>
  <w:num w:numId="8" w16cid:durableId="1655841986">
    <w:abstractNumId w:val="10"/>
  </w:num>
  <w:num w:numId="9" w16cid:durableId="263615616">
    <w:abstractNumId w:val="20"/>
  </w:num>
  <w:num w:numId="10" w16cid:durableId="1536653863">
    <w:abstractNumId w:val="12"/>
  </w:num>
  <w:num w:numId="11" w16cid:durableId="538903845">
    <w:abstractNumId w:val="22"/>
  </w:num>
  <w:num w:numId="12" w16cid:durableId="614289256">
    <w:abstractNumId w:val="11"/>
  </w:num>
  <w:num w:numId="13" w16cid:durableId="1269970857">
    <w:abstractNumId w:val="16"/>
  </w:num>
  <w:num w:numId="14" w16cid:durableId="1889996880">
    <w:abstractNumId w:val="7"/>
  </w:num>
  <w:num w:numId="15" w16cid:durableId="1954901905">
    <w:abstractNumId w:val="24"/>
  </w:num>
  <w:num w:numId="16" w16cid:durableId="397048682">
    <w:abstractNumId w:val="18"/>
  </w:num>
  <w:num w:numId="17" w16cid:durableId="463739344">
    <w:abstractNumId w:val="9"/>
  </w:num>
  <w:num w:numId="18" w16cid:durableId="964651905">
    <w:abstractNumId w:val="4"/>
  </w:num>
  <w:num w:numId="19" w16cid:durableId="758522231">
    <w:abstractNumId w:val="5"/>
  </w:num>
  <w:num w:numId="20" w16cid:durableId="683358929">
    <w:abstractNumId w:val="23"/>
  </w:num>
  <w:num w:numId="21" w16cid:durableId="173347811">
    <w:abstractNumId w:val="17"/>
  </w:num>
  <w:num w:numId="22" w16cid:durableId="537592830">
    <w:abstractNumId w:val="14"/>
  </w:num>
  <w:num w:numId="23" w16cid:durableId="772743509">
    <w:abstractNumId w:val="25"/>
  </w:num>
  <w:num w:numId="24" w16cid:durableId="1772822339">
    <w:abstractNumId w:val="15"/>
  </w:num>
  <w:num w:numId="25" w16cid:durableId="1001348049">
    <w:abstractNumId w:val="2"/>
  </w:num>
  <w:num w:numId="26" w16cid:durableId="1302418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B54B2"/>
    <w:rsid w:val="000B7A3F"/>
    <w:rsid w:val="000C49F8"/>
    <w:rsid w:val="000D27CF"/>
    <w:rsid w:val="000D3F03"/>
    <w:rsid w:val="000D7E19"/>
    <w:rsid w:val="00107A25"/>
    <w:rsid w:val="00111A80"/>
    <w:rsid w:val="00114EE1"/>
    <w:rsid w:val="00120680"/>
    <w:rsid w:val="001407A6"/>
    <w:rsid w:val="00142711"/>
    <w:rsid w:val="00161CBD"/>
    <w:rsid w:val="00172B2F"/>
    <w:rsid w:val="001825AF"/>
    <w:rsid w:val="001866A1"/>
    <w:rsid w:val="00194611"/>
    <w:rsid w:val="001B4E83"/>
    <w:rsid w:val="001C30D8"/>
    <w:rsid w:val="001C5577"/>
    <w:rsid w:val="001E71FA"/>
    <w:rsid w:val="00201B0F"/>
    <w:rsid w:val="002118D8"/>
    <w:rsid w:val="00217460"/>
    <w:rsid w:val="00240BFE"/>
    <w:rsid w:val="0024404E"/>
    <w:rsid w:val="002463AF"/>
    <w:rsid w:val="0025004F"/>
    <w:rsid w:val="00282CAE"/>
    <w:rsid w:val="0029674C"/>
    <w:rsid w:val="002A0CAD"/>
    <w:rsid w:val="002B6F34"/>
    <w:rsid w:val="002C048C"/>
    <w:rsid w:val="002C40E7"/>
    <w:rsid w:val="002F14F8"/>
    <w:rsid w:val="00316BF4"/>
    <w:rsid w:val="0032209C"/>
    <w:rsid w:val="00337DF7"/>
    <w:rsid w:val="00352641"/>
    <w:rsid w:val="00362B91"/>
    <w:rsid w:val="003863A1"/>
    <w:rsid w:val="003906C6"/>
    <w:rsid w:val="003B2899"/>
    <w:rsid w:val="004060FC"/>
    <w:rsid w:val="0041680B"/>
    <w:rsid w:val="00422F84"/>
    <w:rsid w:val="00424194"/>
    <w:rsid w:val="00446496"/>
    <w:rsid w:val="00461C12"/>
    <w:rsid w:val="0049623F"/>
    <w:rsid w:val="004C14A1"/>
    <w:rsid w:val="004D17FA"/>
    <w:rsid w:val="004E0454"/>
    <w:rsid w:val="004E563E"/>
    <w:rsid w:val="004F1386"/>
    <w:rsid w:val="004F6E86"/>
    <w:rsid w:val="005034E8"/>
    <w:rsid w:val="0050499A"/>
    <w:rsid w:val="00514C16"/>
    <w:rsid w:val="005404BB"/>
    <w:rsid w:val="00551B55"/>
    <w:rsid w:val="005806A4"/>
    <w:rsid w:val="00582CBB"/>
    <w:rsid w:val="005911EF"/>
    <w:rsid w:val="00595A9B"/>
    <w:rsid w:val="005A0013"/>
    <w:rsid w:val="005A0115"/>
    <w:rsid w:val="005F1C25"/>
    <w:rsid w:val="0060750D"/>
    <w:rsid w:val="006348A7"/>
    <w:rsid w:val="00666D92"/>
    <w:rsid w:val="00674E4B"/>
    <w:rsid w:val="00680D16"/>
    <w:rsid w:val="00694CC9"/>
    <w:rsid w:val="00697071"/>
    <w:rsid w:val="006B1C02"/>
    <w:rsid w:val="006B4B62"/>
    <w:rsid w:val="006D2234"/>
    <w:rsid w:val="006E0370"/>
    <w:rsid w:val="007216BA"/>
    <w:rsid w:val="00727FE6"/>
    <w:rsid w:val="007457EB"/>
    <w:rsid w:val="00747BAF"/>
    <w:rsid w:val="0075667B"/>
    <w:rsid w:val="00757944"/>
    <w:rsid w:val="00780014"/>
    <w:rsid w:val="007A3828"/>
    <w:rsid w:val="007B0872"/>
    <w:rsid w:val="007E019E"/>
    <w:rsid w:val="007F7DC7"/>
    <w:rsid w:val="00806DD4"/>
    <w:rsid w:val="00824AC7"/>
    <w:rsid w:val="008264F1"/>
    <w:rsid w:val="008302C7"/>
    <w:rsid w:val="00830417"/>
    <w:rsid w:val="008361FA"/>
    <w:rsid w:val="00866CA2"/>
    <w:rsid w:val="00875A2D"/>
    <w:rsid w:val="00885E83"/>
    <w:rsid w:val="0088655D"/>
    <w:rsid w:val="00892ED6"/>
    <w:rsid w:val="00894675"/>
    <w:rsid w:val="008B51AC"/>
    <w:rsid w:val="008C00B4"/>
    <w:rsid w:val="008C2339"/>
    <w:rsid w:val="008F2B46"/>
    <w:rsid w:val="009000E6"/>
    <w:rsid w:val="00904839"/>
    <w:rsid w:val="009273A6"/>
    <w:rsid w:val="0093725E"/>
    <w:rsid w:val="009500DC"/>
    <w:rsid w:val="009554B5"/>
    <w:rsid w:val="009564E7"/>
    <w:rsid w:val="00994E33"/>
    <w:rsid w:val="00997497"/>
    <w:rsid w:val="009C7F3B"/>
    <w:rsid w:val="009D048D"/>
    <w:rsid w:val="009E7343"/>
    <w:rsid w:val="009F1580"/>
    <w:rsid w:val="00A165CA"/>
    <w:rsid w:val="00A25398"/>
    <w:rsid w:val="00A417AE"/>
    <w:rsid w:val="00A65913"/>
    <w:rsid w:val="00A7414B"/>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724"/>
    <w:rsid w:val="00D17BF4"/>
    <w:rsid w:val="00D278B9"/>
    <w:rsid w:val="00D309D9"/>
    <w:rsid w:val="00D47966"/>
    <w:rsid w:val="00D748FA"/>
    <w:rsid w:val="00DA0C81"/>
    <w:rsid w:val="00DB7488"/>
    <w:rsid w:val="00DE1743"/>
    <w:rsid w:val="00DE39E6"/>
    <w:rsid w:val="00E151CC"/>
    <w:rsid w:val="00E529B1"/>
    <w:rsid w:val="00E5586A"/>
    <w:rsid w:val="00E76F6F"/>
    <w:rsid w:val="00ED5013"/>
    <w:rsid w:val="00F039A0"/>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2BCA6-B40F-4429-B21C-5C928822EC94}">
  <ds:schemaRefs>
    <ds:schemaRef ds:uri="http://schemas.openxmlformats.org/officeDocument/2006/bibliography"/>
  </ds:schemaRefs>
</ds:datastoreItem>
</file>

<file path=customXml/itemProps2.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6A1FB-F4A5-44F6-AB1A-9937B345F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F646F2-FA8C-482D-8733-5D30CFDFC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2228</Words>
  <Characters>12274</Characters>
  <Application>Microsoft Office Word</Application>
  <DocSecurity>0</DocSecurity>
  <Lines>102</Lines>
  <Paragraphs>28</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Breheny, Ame</cp:lastModifiedBy>
  <cp:revision>4</cp:revision>
  <cp:lastPrinted>2009-12-17T19:09:00Z</cp:lastPrinted>
  <dcterms:created xsi:type="dcterms:W3CDTF">2022-10-14T14:47:00Z</dcterms:created>
  <dcterms:modified xsi:type="dcterms:W3CDTF">2023-10-16T14:52:00Z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