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24" w:rsidRPr="00982A36" w:rsidRDefault="00474981">
      <w:pPr>
        <w:pStyle w:val="SCT"/>
      </w:pPr>
      <w:permStart w:id="0" w:edGrp="everyone"/>
      <w:permEnd w:id="0"/>
      <w:r w:rsidRPr="00982A36">
        <w:t xml:space="preserve">SECTION </w:t>
      </w:r>
      <w:r w:rsidRPr="00982A36">
        <w:rPr>
          <w:rStyle w:val="NUM"/>
        </w:rPr>
        <w:t>019113</w:t>
      </w:r>
      <w:r w:rsidRPr="00982A36">
        <w:t xml:space="preserve"> - </w:t>
      </w:r>
      <w:r w:rsidRPr="00982A36">
        <w:rPr>
          <w:rStyle w:val="NAM"/>
        </w:rPr>
        <w:t>GENERAL COMMISSIONING REQUIREMENTS</w:t>
      </w:r>
    </w:p>
    <w:p w:rsidR="006F7024" w:rsidRPr="00982A36" w:rsidRDefault="00474981">
      <w:pPr>
        <w:pStyle w:val="PRT"/>
      </w:pPr>
      <w:r w:rsidRPr="00982A36">
        <w:t>GENERAL</w:t>
      </w:r>
    </w:p>
    <w:p w:rsidR="00A22BC0" w:rsidRPr="00982A36" w:rsidRDefault="00A22BC0" w:rsidP="00A22BC0">
      <w:pPr>
        <w:pStyle w:val="ART"/>
      </w:pPr>
      <w:r w:rsidRPr="00982A36">
        <w:t>RELATED DOCUMENTS</w:t>
      </w:r>
    </w:p>
    <w:p w:rsidR="00A22BC0" w:rsidRPr="00982A36" w:rsidRDefault="00F97A92" w:rsidP="00A22BC0">
      <w:pPr>
        <w:pStyle w:val="PR1"/>
      </w:pPr>
      <w:r>
        <w:t>The Contract Documents</w:t>
      </w:r>
      <w:r w:rsidR="001E4A24">
        <w:t xml:space="preserve">, </w:t>
      </w:r>
      <w:r w:rsidR="007151F5">
        <w:t xml:space="preserve">including but not limited to, the </w:t>
      </w:r>
      <w:r w:rsidR="001E4A24">
        <w:t>Drawings</w:t>
      </w:r>
      <w:r w:rsidR="007151F5">
        <w:t xml:space="preserve"> and</w:t>
      </w:r>
      <w:r w:rsidR="00F7127E">
        <w:t xml:space="preserve"> Individual Specification Sections</w:t>
      </w:r>
      <w:r w:rsidR="007151F5">
        <w:t xml:space="preserve"> and</w:t>
      </w:r>
      <w:r>
        <w:t xml:space="preserve"> </w:t>
      </w:r>
      <w:r w:rsidR="001E4A24">
        <w:t>the Commissioning Plan</w:t>
      </w:r>
      <w:r w:rsidR="007151F5">
        <w:t>,</w:t>
      </w:r>
      <w:r w:rsidR="00F7127E">
        <w:t xml:space="preserve"> apply to this Section.</w:t>
      </w:r>
    </w:p>
    <w:p w:rsidR="006F7024" w:rsidRPr="00807E58" w:rsidRDefault="005E66C7">
      <w:pPr>
        <w:pStyle w:val="ART"/>
      </w:pPr>
      <w:r>
        <w:t>SUMMARY</w:t>
      </w:r>
    </w:p>
    <w:p w:rsidR="006F7024" w:rsidRPr="00807E58" w:rsidRDefault="00F7127E">
      <w:pPr>
        <w:pStyle w:val="PR1"/>
      </w:pPr>
      <w:r>
        <w:t xml:space="preserve">Section includes </w:t>
      </w:r>
      <w:r w:rsidR="005E66C7">
        <w:t>general</w:t>
      </w:r>
      <w:r w:rsidR="00E655EE">
        <w:t>, procedural, and administrative</w:t>
      </w:r>
      <w:r w:rsidR="005E66C7">
        <w:t xml:space="preserve"> requirements that apply to implementation of commissioning.</w:t>
      </w:r>
    </w:p>
    <w:p w:rsidR="00F7127E" w:rsidRDefault="00F7127E" w:rsidP="00B7634C">
      <w:pPr>
        <w:pStyle w:val="PR1"/>
        <w:spacing w:after="240"/>
      </w:pPr>
      <w:r>
        <w:t>General Provisions for Commissioning:</w:t>
      </w:r>
    </w:p>
    <w:p w:rsidR="001B0CA3" w:rsidRDefault="00F7127E" w:rsidP="00F7127E">
      <w:pPr>
        <w:pStyle w:val="PR2"/>
      </w:pPr>
      <w:r>
        <w:t>S</w:t>
      </w:r>
      <w:r w:rsidR="00474981" w:rsidRPr="00807E58">
        <w:t>elected building systems and equipment</w:t>
      </w:r>
      <w:r>
        <w:t xml:space="preserve"> to be</w:t>
      </w:r>
      <w:r w:rsidR="00474981" w:rsidRPr="00807E58">
        <w:t xml:space="preserve"> commissioned</w:t>
      </w:r>
      <w:r>
        <w:t xml:space="preserve"> are identified in Division 24</w:t>
      </w:r>
      <w:r w:rsidR="00474981" w:rsidRPr="00807E58">
        <w:t>.</w:t>
      </w:r>
    </w:p>
    <w:p w:rsidR="00F7127E" w:rsidRDefault="00F7127E" w:rsidP="00F7127E">
      <w:pPr>
        <w:pStyle w:val="PR2"/>
      </w:pPr>
      <w:r>
        <w:t xml:space="preserve">The commissioning process shall be directed by the Commissioning Authority, provided by the </w:t>
      </w:r>
      <w:r w:rsidR="00726266">
        <w:t>O</w:t>
      </w:r>
      <w:r>
        <w:t>wner.</w:t>
      </w:r>
    </w:p>
    <w:p w:rsidR="002B55C5" w:rsidRDefault="008E6F83" w:rsidP="00F7127E">
      <w:pPr>
        <w:pStyle w:val="PR2"/>
      </w:pPr>
      <w:r>
        <w:t xml:space="preserve">The </w:t>
      </w:r>
      <w:r w:rsidR="003621A4">
        <w:t xml:space="preserve">responsible </w:t>
      </w:r>
      <w:r>
        <w:t>Contractor</w:t>
      </w:r>
      <w:r w:rsidR="00F7127E">
        <w:t xml:space="preserve"> shall a</w:t>
      </w:r>
      <w:r>
        <w:t>ct as the Commissioning Agent</w:t>
      </w:r>
      <w:r w:rsidR="00F7127E">
        <w:t>, and shall be responsible for executing</w:t>
      </w:r>
      <w:r w:rsidR="00DF637C">
        <w:t xml:space="preserve"> the commissioning process as directed by the Commissioning Authority</w:t>
      </w:r>
      <w:r w:rsidR="00D24E06">
        <w:t xml:space="preserve">, </w:t>
      </w:r>
      <w:r w:rsidR="00D24E06" w:rsidRPr="003621A4">
        <w:t>and as defined in Division 24</w:t>
      </w:r>
      <w:r w:rsidR="00DF637C" w:rsidRPr="003621A4">
        <w:t>.</w:t>
      </w:r>
    </w:p>
    <w:p w:rsidR="00DF637C" w:rsidRPr="00807E58" w:rsidRDefault="00DF637C" w:rsidP="00F7127E">
      <w:pPr>
        <w:pStyle w:val="PR2"/>
      </w:pPr>
      <w:r>
        <w:t>The commissioning process is defined in Division 24 and includes responsibilities for each Commissioning Team member incl</w:t>
      </w:r>
      <w:r w:rsidR="008E6F83">
        <w:t>uding the Commissioning Agent</w:t>
      </w:r>
      <w:r>
        <w:t>.</w:t>
      </w:r>
    </w:p>
    <w:p w:rsidR="006F7024" w:rsidRDefault="00DF637C" w:rsidP="00807E58">
      <w:pPr>
        <w:pStyle w:val="PR1"/>
        <w:spacing w:after="240"/>
      </w:pPr>
      <w:r>
        <w:t>Related Sections:</w:t>
      </w:r>
    </w:p>
    <w:p w:rsidR="00373C50" w:rsidRDefault="00DF637C" w:rsidP="00373C50">
      <w:pPr>
        <w:pStyle w:val="PR2"/>
      </w:pPr>
      <w:r>
        <w:t>Specification Sections</w:t>
      </w:r>
      <w:r w:rsidR="00373C50">
        <w:t xml:space="preserve"> referenced in Division 24, Commissioning, apply to this Section.</w:t>
      </w:r>
    </w:p>
    <w:p w:rsidR="00373C50" w:rsidRDefault="00373C50" w:rsidP="00373C50">
      <w:pPr>
        <w:pStyle w:val="PR1"/>
      </w:pPr>
      <w:r>
        <w:t>References:</w:t>
      </w:r>
    </w:p>
    <w:p w:rsidR="00373C50" w:rsidRDefault="00373C50" w:rsidP="0028630B">
      <w:pPr>
        <w:pStyle w:val="PR2"/>
      </w:pPr>
      <w:r>
        <w:t>Owner’s Project Requirements (OPR), Basis of Design (BoD), and Design Intent (DI) documents.</w:t>
      </w:r>
    </w:p>
    <w:p w:rsidR="00373C50" w:rsidRPr="00B63783" w:rsidRDefault="00373C50" w:rsidP="0028630B">
      <w:pPr>
        <w:pStyle w:val="PR2"/>
      </w:pPr>
      <w:r>
        <w:t xml:space="preserve">Dormitory Authority State of New York:  Building Commissioning Guidelines – 2006 </w:t>
      </w:r>
      <w:hyperlink r:id="rId8" w:history="1">
        <w:r>
          <w:rPr>
            <w:rStyle w:val="Hyperlink"/>
            <w:rFonts w:asciiTheme="minorHAnsi" w:hAnsiTheme="minorHAnsi" w:cstheme="minorBidi"/>
            <w:szCs w:val="22"/>
          </w:rPr>
          <w:t>http://www.dasny.org/construc/build_comm_guide/index.php</w:t>
        </w:r>
      </w:hyperlink>
    </w:p>
    <w:p w:rsidR="00373C50" w:rsidRDefault="00373C50" w:rsidP="0028630B">
      <w:pPr>
        <w:pStyle w:val="PR2"/>
      </w:pPr>
      <w:r>
        <w:t>ASHRAE Guideline 0-2005: The Commissioning Process</w:t>
      </w:r>
    </w:p>
    <w:p w:rsidR="00373C50" w:rsidRPr="00982A36" w:rsidRDefault="00373C50" w:rsidP="00FA2CB5">
      <w:pPr>
        <w:pStyle w:val="PR2"/>
      </w:pPr>
      <w:r>
        <w:t xml:space="preserve">ASHRAE Guideline 1.1-2007: HVAC &amp; R Technical Requirements for </w:t>
      </w:r>
      <w:r w:rsidR="00726266">
        <w:t>the</w:t>
      </w:r>
      <w:r>
        <w:t xml:space="preserve"> Commissioning Process</w:t>
      </w:r>
      <w:r w:rsidR="00FA2CB5">
        <w:t>.</w:t>
      </w:r>
    </w:p>
    <w:p w:rsidR="006F7024" w:rsidRPr="002323E2" w:rsidRDefault="00A345AA">
      <w:pPr>
        <w:pStyle w:val="ART"/>
      </w:pPr>
      <w:r w:rsidRPr="002323E2">
        <w:t>DEFINITIONS</w:t>
      </w:r>
    </w:p>
    <w:p w:rsidR="006F7024" w:rsidRPr="002323E2" w:rsidRDefault="00533C23">
      <w:pPr>
        <w:pStyle w:val="PR1"/>
      </w:pPr>
      <w:r>
        <w:t>Basis of Design (BoD):  A document</w:t>
      </w:r>
      <w:r w:rsidR="009D0089">
        <w:t xml:space="preserve"> </w:t>
      </w:r>
      <w:r w:rsidR="00FA2CB5">
        <w:t xml:space="preserve">prepared by the </w:t>
      </w:r>
      <w:r w:rsidR="00FA2CB5" w:rsidRPr="003621A4">
        <w:t>Design Professional</w:t>
      </w:r>
      <w:r>
        <w:t xml:space="preserve"> that records</w:t>
      </w:r>
      <w:r w:rsidR="00774F68">
        <w:t xml:space="preserve"> how the designer has met the owner’s project requirements.  It includes</w:t>
      </w:r>
      <w:r>
        <w:t xml:space="preserve"> </w:t>
      </w:r>
      <w:r w:rsidR="00774F68">
        <w:t xml:space="preserve">the </w:t>
      </w:r>
      <w:r>
        <w:t xml:space="preserve">concepts, calculations, decisions, and product selections </w:t>
      </w:r>
      <w:r w:rsidR="00774F68">
        <w:t xml:space="preserve">and how applicable regulatory requirements, standards, and guidelines have been met.  </w:t>
      </w:r>
      <w:r>
        <w:t xml:space="preserve">The </w:t>
      </w:r>
      <w:r w:rsidR="000059FF">
        <w:t>document includes</w:t>
      </w:r>
      <w:r>
        <w:t xml:space="preserve"> descriptions and lists of individual items that support the design process.</w:t>
      </w:r>
    </w:p>
    <w:p w:rsidR="00E85816" w:rsidRPr="00726266" w:rsidRDefault="00533C23">
      <w:pPr>
        <w:pStyle w:val="PR1"/>
      </w:pPr>
      <w:r>
        <w:lastRenderedPageBreak/>
        <w:t xml:space="preserve">Commissioning (Cx): </w:t>
      </w:r>
      <w:r w:rsidR="005130E7">
        <w:t>A</w:t>
      </w:r>
      <w:r>
        <w:t xml:space="preserve"> quality assurance process that documents </w:t>
      </w:r>
      <w:r w:rsidR="00A53FE2">
        <w:t>specified systems and components</w:t>
      </w:r>
      <w:r>
        <w:t xml:space="preserve"> are </w:t>
      </w:r>
      <w:r w:rsidR="00F8533E">
        <w:t>provided</w:t>
      </w:r>
      <w:r>
        <w:t xml:space="preserve"> and tested </w:t>
      </w:r>
      <w:r w:rsidRPr="00726266">
        <w:t xml:space="preserve">to meet the </w:t>
      </w:r>
      <w:r w:rsidR="00726266" w:rsidRPr="00726266">
        <w:t>O</w:t>
      </w:r>
      <w:r w:rsidRPr="00726266">
        <w:t>wner’s needs and the design intent</w:t>
      </w:r>
      <w:r w:rsidR="00F8533E" w:rsidRPr="00726266">
        <w:t xml:space="preserve"> </w:t>
      </w:r>
      <w:r w:rsidRPr="00726266">
        <w:t>in</w:t>
      </w:r>
      <w:r w:rsidR="00F8533E" w:rsidRPr="00726266">
        <w:t xml:space="preserve"> accordance with</w:t>
      </w:r>
      <w:r w:rsidRPr="00726266">
        <w:t xml:space="preserve"> the </w:t>
      </w:r>
      <w:r w:rsidR="00F8533E" w:rsidRPr="00726266">
        <w:t>Contract</w:t>
      </w:r>
      <w:r w:rsidRPr="00726266">
        <w:t xml:space="preserve"> Documents.</w:t>
      </w:r>
    </w:p>
    <w:p w:rsidR="00FF0C14" w:rsidRPr="00726266" w:rsidRDefault="00533C23">
      <w:pPr>
        <w:pStyle w:val="PR1"/>
      </w:pPr>
      <w:r>
        <w:t>Commissioning Agent (CA)</w:t>
      </w:r>
      <w:r w:rsidR="005130E7">
        <w:t>:</w:t>
      </w:r>
      <w:r>
        <w:t xml:space="preserve"> </w:t>
      </w:r>
      <w:r w:rsidR="003621A4" w:rsidRPr="00726266">
        <w:t xml:space="preserve">The Contractor.  </w:t>
      </w:r>
      <w:r w:rsidRPr="00726266">
        <w:t xml:space="preserve">For the purposes of commissioning the Contractor </w:t>
      </w:r>
      <w:r w:rsidR="00F8533E" w:rsidRPr="00726266">
        <w:t>shall</w:t>
      </w:r>
      <w:r w:rsidRPr="00726266">
        <w:t xml:space="preserve"> </w:t>
      </w:r>
      <w:r w:rsidR="000E05A8" w:rsidRPr="00726266">
        <w:t>assume</w:t>
      </w:r>
      <w:r w:rsidRPr="00726266">
        <w:t xml:space="preserve"> the role, tasks, and responsibilities of the Commissioning Agent.</w:t>
      </w:r>
      <w:r w:rsidR="00F8533E" w:rsidRPr="00726266">
        <w:t xml:space="preserve">  </w:t>
      </w:r>
      <w:r w:rsidR="00913624" w:rsidRPr="00726266">
        <w:t xml:space="preserve">Note that per </w:t>
      </w:r>
      <w:r w:rsidR="00726266" w:rsidRPr="00726266">
        <w:t>the Owner’s</w:t>
      </w:r>
      <w:r w:rsidR="00913624" w:rsidRPr="00726266">
        <w:t xml:space="preserve"> Building Commissioning Guidelines,</w:t>
      </w:r>
      <w:r w:rsidR="00EA2582" w:rsidRPr="00726266">
        <w:t xml:space="preserve"> </w:t>
      </w:r>
      <w:r w:rsidR="00726266" w:rsidRPr="00726266">
        <w:t>the Owner</w:t>
      </w:r>
      <w:r w:rsidR="00EA2582" w:rsidRPr="00726266">
        <w:t xml:space="preserve"> does not allow the Commissioning Authority and Commissioning Agent to be the same organization or person.</w:t>
      </w:r>
      <w:r w:rsidR="00645488" w:rsidRPr="00726266">
        <w:t xml:space="preserve">  The Commissioning Agent shall assign a representative with expertise and authority to act on its behalf to participate in the commissioning process.</w:t>
      </w:r>
    </w:p>
    <w:p w:rsidR="00CC2A6D" w:rsidRPr="002323E2" w:rsidRDefault="00CC2A6D" w:rsidP="00CC2A6D">
      <w:pPr>
        <w:pStyle w:val="PR1"/>
      </w:pPr>
      <w:r>
        <w:t>Commissioning Authority (CxA): The</w:t>
      </w:r>
      <w:r w:rsidR="003621A4">
        <w:t xml:space="preserve"> </w:t>
      </w:r>
      <w:r w:rsidR="00F8533E" w:rsidRPr="00726266">
        <w:t>Professional</w:t>
      </w:r>
      <w:r>
        <w:t xml:space="preserve">, </w:t>
      </w:r>
      <w:r w:rsidR="00F8533E">
        <w:t>appointed</w:t>
      </w:r>
      <w:r>
        <w:t xml:space="preserve"> by the </w:t>
      </w:r>
      <w:r w:rsidR="00726266">
        <w:t>O</w:t>
      </w:r>
      <w:r>
        <w:t>wner, to direct and coordinate the commissioning process.</w:t>
      </w:r>
    </w:p>
    <w:p w:rsidR="00996F47" w:rsidRPr="00726266" w:rsidRDefault="00533C23" w:rsidP="009C126C">
      <w:pPr>
        <w:pStyle w:val="PR1"/>
      </w:pPr>
      <w:r w:rsidRPr="00726266">
        <w:t>Commissioning Plan</w:t>
      </w:r>
      <w:r w:rsidR="00FA2CB5" w:rsidRPr="00726266">
        <w:t xml:space="preserve"> (Cx Plan)</w:t>
      </w:r>
      <w:r w:rsidR="00F8533E" w:rsidRPr="00726266">
        <w:t xml:space="preserve">:  A document, </w:t>
      </w:r>
      <w:r w:rsidR="00A626CC" w:rsidRPr="00726266">
        <w:t>prepared</w:t>
      </w:r>
      <w:r w:rsidR="00F8533E" w:rsidRPr="00726266">
        <w:t xml:space="preserve"> </w:t>
      </w:r>
      <w:r w:rsidR="001A2E0F" w:rsidRPr="00726266">
        <w:t>by the Commissioning Authority, defining</w:t>
      </w:r>
      <w:r w:rsidR="001D5F35" w:rsidRPr="00726266">
        <w:t xml:space="preserve"> </w:t>
      </w:r>
      <w:r w:rsidR="00A626CC" w:rsidRPr="00726266">
        <w:t>the commissioning process including schedules</w:t>
      </w:r>
      <w:r w:rsidR="00B61DF1" w:rsidRPr="00726266">
        <w:t xml:space="preserve">, responsibilities, documentation requirements, and functional </w:t>
      </w:r>
      <w:r w:rsidR="001D5F35" w:rsidRPr="00726266">
        <w:t>performance test requirements.</w:t>
      </w:r>
    </w:p>
    <w:p w:rsidR="006B49B9" w:rsidRPr="00726266" w:rsidRDefault="006B49B9" w:rsidP="006B49B9">
      <w:pPr>
        <w:pStyle w:val="PR1"/>
      </w:pPr>
      <w:r w:rsidRPr="00726266">
        <w:t xml:space="preserve">Commissioning Team: </w:t>
      </w:r>
      <w:r w:rsidR="00F754FD" w:rsidRPr="00726266">
        <w:t>Individuals</w:t>
      </w:r>
      <w:r w:rsidRPr="00726266">
        <w:t xml:space="preserve"> and entities</w:t>
      </w:r>
      <w:r w:rsidR="001A2E0F" w:rsidRPr="00726266">
        <w:t>, as deemed appropriate by the CxA,</w:t>
      </w:r>
      <w:r w:rsidR="00F754FD" w:rsidRPr="00726266">
        <w:t xml:space="preserve"> appointed by the Owner and Contractor</w:t>
      </w:r>
      <w:r w:rsidR="001A2E0F" w:rsidRPr="00726266">
        <w:t>, having the authority to act on their behalf,</w:t>
      </w:r>
      <w:r w:rsidRPr="00726266">
        <w:t xml:space="preserve"> </w:t>
      </w:r>
      <w:r w:rsidR="001A2E0F" w:rsidRPr="00726266">
        <w:t>explicitly organized to</w:t>
      </w:r>
      <w:r w:rsidRPr="00726266">
        <w:t xml:space="preserve"> implement the commissioning process</w:t>
      </w:r>
      <w:r w:rsidR="001A2E0F" w:rsidRPr="00726266">
        <w:t>, through coordinated action</w:t>
      </w:r>
      <w:r w:rsidRPr="00726266">
        <w:t xml:space="preserve"> and defined in the contract documents and the Commissioning Plan.</w:t>
      </w:r>
    </w:p>
    <w:p w:rsidR="00FC2F84" w:rsidRPr="00726266" w:rsidRDefault="00533C23">
      <w:pPr>
        <w:pStyle w:val="PR1"/>
      </w:pPr>
      <w:r>
        <w:t xml:space="preserve">Design Intent (DI): </w:t>
      </w:r>
      <w:r w:rsidR="00F754FD">
        <w:t xml:space="preserve">A </w:t>
      </w:r>
      <w:r w:rsidR="00F40819">
        <w:t xml:space="preserve">document </w:t>
      </w:r>
      <w:r w:rsidR="00D6029A">
        <w:t>prepared by the Design Professional</w:t>
      </w:r>
      <w:r w:rsidR="00F40819">
        <w:t xml:space="preserve"> that </w:t>
      </w:r>
      <w:r w:rsidR="00F40819" w:rsidRPr="00726266">
        <w:t xml:space="preserve">summarizes design goals </w:t>
      </w:r>
      <w:r w:rsidR="00F754FD" w:rsidRPr="00726266">
        <w:t xml:space="preserve">of the </w:t>
      </w:r>
      <w:r w:rsidRPr="00726266">
        <w:t>design phase</w:t>
      </w:r>
      <w:r w:rsidR="00F40819" w:rsidRPr="00726266">
        <w:t>.</w:t>
      </w:r>
    </w:p>
    <w:p w:rsidR="004D332B" w:rsidRDefault="00533C23" w:rsidP="004D332B">
      <w:pPr>
        <w:pStyle w:val="PR1"/>
      </w:pPr>
      <w:r>
        <w:t>Owner's Project Requirements</w:t>
      </w:r>
      <w:r w:rsidR="00627111">
        <w:t xml:space="preserve"> (OPR):</w:t>
      </w:r>
      <w:r>
        <w:t xml:space="preserve">  A document</w:t>
      </w:r>
      <w:r w:rsidR="00D6029A">
        <w:t xml:space="preserve"> prepared by the Design Professional</w:t>
      </w:r>
      <w:r w:rsidR="00F754FD">
        <w:t xml:space="preserve"> that defines the functional requirements </w:t>
      </w:r>
      <w:r w:rsidR="001B7F7E">
        <w:t xml:space="preserve">and the expectations </w:t>
      </w:r>
      <w:r w:rsidR="00F754FD">
        <w:t>for</w:t>
      </w:r>
      <w:r>
        <w:t xml:space="preserve"> ope</w:t>
      </w:r>
      <w:r w:rsidR="00F754FD">
        <w:t>ration</w:t>
      </w:r>
      <w:r w:rsidR="00563FA3">
        <w:t>.</w:t>
      </w:r>
    </w:p>
    <w:p w:rsidR="00A537B4" w:rsidRPr="00726266" w:rsidRDefault="00B8519F" w:rsidP="009F7A53">
      <w:pPr>
        <w:pStyle w:val="PR1"/>
      </w:pPr>
      <w:r w:rsidRPr="00726266">
        <w:t>Systems and Energy Management Manual: A composite document that expands the scope of the operation and maintenance manual by including additional information gathered by the commissioning process as required by</w:t>
      </w:r>
      <w:r w:rsidR="00200DB8" w:rsidRPr="00726266">
        <w:t xml:space="preserve"> the New York State Green Building Tax Credit, Section 638.8 (k)(2).</w:t>
      </w:r>
    </w:p>
    <w:p w:rsidR="0010449E" w:rsidRDefault="00A2229C" w:rsidP="0010449E">
      <w:pPr>
        <w:pStyle w:val="ART"/>
      </w:pPr>
      <w:r>
        <w:t>COMMISSIONING TEAM</w:t>
      </w:r>
    </w:p>
    <w:p w:rsidR="00530ED5" w:rsidRDefault="00A537B4">
      <w:pPr>
        <w:pStyle w:val="PR1"/>
      </w:pPr>
      <w:r w:rsidRPr="00900DB7">
        <w:t xml:space="preserve">The </w:t>
      </w:r>
      <w:r w:rsidR="00726266">
        <w:t>C</w:t>
      </w:r>
      <w:r w:rsidRPr="00900DB7">
        <w:t xml:space="preserve">ommissioning </w:t>
      </w:r>
      <w:r w:rsidR="00726266">
        <w:t>T</w:t>
      </w:r>
      <w:r w:rsidRPr="00900DB7">
        <w:t>eam shall consist of, but not be limited to,</w:t>
      </w:r>
      <w:r w:rsidR="00F754FD">
        <w:t xml:space="preserve"> the </w:t>
      </w:r>
      <w:r w:rsidRPr="00900DB7">
        <w:t>Owner</w:t>
      </w:r>
      <w:r w:rsidR="00F754FD">
        <w:t xml:space="preserve">, </w:t>
      </w:r>
      <w:r w:rsidRPr="00900DB7">
        <w:t>Design Professional, Commissioning Authority, Commissioning Agent, suppliers, and speciali</w:t>
      </w:r>
      <w:r w:rsidR="00D6029A">
        <w:t>sts</w:t>
      </w:r>
      <w:r w:rsidR="00F754FD">
        <w:t>,</w:t>
      </w:r>
      <w:r w:rsidR="00D6029A">
        <w:t xml:space="preserve"> </w:t>
      </w:r>
      <w:r w:rsidR="00F754FD">
        <w:t>in accordance with the</w:t>
      </w:r>
      <w:r w:rsidR="00D6029A">
        <w:t xml:space="preserve"> Commissioning </w:t>
      </w:r>
      <w:r w:rsidR="00F754FD">
        <w:t>Plan</w:t>
      </w:r>
      <w:r w:rsidRPr="00900DB7">
        <w:t>.</w:t>
      </w:r>
    </w:p>
    <w:p w:rsidR="00726266" w:rsidRDefault="00726266" w:rsidP="00726266">
      <w:pPr>
        <w:pStyle w:val="PR1"/>
        <w:numPr>
          <w:ilvl w:val="0"/>
          <w:numId w:val="0"/>
        </w:numPr>
        <w:ind w:left="864" w:hanging="576"/>
      </w:pPr>
    </w:p>
    <w:p w:rsidR="006F7024" w:rsidRPr="000F114A" w:rsidRDefault="005E66C7" w:rsidP="00726266">
      <w:pPr>
        <w:pStyle w:val="PRT"/>
        <w:spacing w:before="0"/>
      </w:pPr>
      <w:r>
        <w:t>PRODUCTS (Not Used)</w:t>
      </w:r>
    </w:p>
    <w:p w:rsidR="006F7024" w:rsidRPr="000F114A" w:rsidRDefault="005E66C7" w:rsidP="004D0168">
      <w:pPr>
        <w:pStyle w:val="PRT"/>
        <w:spacing w:before="0"/>
      </w:pPr>
      <w:r>
        <w:t>EXECUTION (Not Used)</w:t>
      </w:r>
    </w:p>
    <w:p w:rsidR="006F7024" w:rsidRDefault="005E66C7">
      <w:pPr>
        <w:pStyle w:val="EOS"/>
      </w:pPr>
      <w:r>
        <w:t>END OF SECTION 019113</w:t>
      </w:r>
    </w:p>
    <w:sectPr w:rsidR="006F7024" w:rsidSect="0074143E">
      <w:headerReference w:type="default" r:id="rId9"/>
      <w:footerReference w:type="default" r:id="rId10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AD" w:rsidRDefault="00DF19AD">
      <w:r>
        <w:separator/>
      </w:r>
    </w:p>
  </w:endnote>
  <w:endnote w:type="continuationSeparator" w:id="0">
    <w:p w:rsidR="00DF19AD" w:rsidRDefault="00DF1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65" w:type="dxa"/>
        <w:right w:w="65" w:type="dxa"/>
      </w:tblCellMar>
      <w:tblLook w:val="0000"/>
    </w:tblPr>
    <w:tblGrid>
      <w:gridCol w:w="7632"/>
      <w:gridCol w:w="1728"/>
    </w:tblGrid>
    <w:tr w:rsidR="00645488">
      <w:tc>
        <w:tcPr>
          <w:tcW w:w="7632" w:type="dxa"/>
        </w:tcPr>
        <w:p w:rsidR="00645488" w:rsidRDefault="00645488">
          <w:pPr>
            <w:pStyle w:val="FTR"/>
            <w:rPr>
              <w:rStyle w:val="NAM"/>
            </w:rPr>
          </w:pPr>
          <w:r>
            <w:rPr>
              <w:rStyle w:val="NAM"/>
            </w:rPr>
            <w:t>GENERAL COMMISSIONING REQUIREMENTS</w:t>
          </w:r>
        </w:p>
        <w:p w:rsidR="00852F2E" w:rsidRDefault="00430CD7" w:rsidP="0070362A">
          <w:pPr>
            <w:pStyle w:val="FTR"/>
          </w:pPr>
          <w:r>
            <w:t>December</w:t>
          </w:r>
          <w:r w:rsidR="004865F0">
            <w:t xml:space="preserve"> ‘10</w:t>
          </w:r>
        </w:p>
      </w:tc>
      <w:tc>
        <w:tcPr>
          <w:tcW w:w="1728" w:type="dxa"/>
        </w:tcPr>
        <w:p w:rsidR="00645488" w:rsidRDefault="00645488">
          <w:pPr>
            <w:pStyle w:val="RJUST"/>
          </w:pPr>
          <w:r>
            <w:rPr>
              <w:rStyle w:val="NUM"/>
            </w:rPr>
            <w:t>019113</w:t>
          </w:r>
          <w:r>
            <w:t xml:space="preserve"> - </w:t>
          </w:r>
          <w:fldSimple w:instr=" PAGE ">
            <w:r w:rsidR="00664349">
              <w:rPr>
                <w:noProof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AD" w:rsidRDefault="00DF19AD">
      <w:r>
        <w:separator/>
      </w:r>
    </w:p>
  </w:footnote>
  <w:footnote w:type="continuationSeparator" w:id="0">
    <w:p w:rsidR="00DF19AD" w:rsidRDefault="00DF1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88" w:rsidRDefault="00645488" w:rsidP="006A049A">
    <w:pPr>
      <w:pStyle w:val="HDR"/>
      <w:jc w:val="center"/>
      <w:rPr>
        <w:rStyle w:val="CPR"/>
      </w:rPr>
    </w:pPr>
    <w:r>
      <w:rPr>
        <w:rStyle w:val="CPR"/>
      </w:rPr>
      <w:t>GENERAL REQUIREMENTS for CONSTRUCTION</w:t>
    </w:r>
  </w:p>
  <w:p w:rsidR="00645488" w:rsidRDefault="00645488" w:rsidP="006A049A">
    <w:pPr>
      <w:pStyle w:val="HD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ocumentProtection w:edit="readOnly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/>
  <w:rsids>
    <w:rsidRoot w:val="006F7024"/>
    <w:rsid w:val="00003DBB"/>
    <w:rsid w:val="000059FF"/>
    <w:rsid w:val="000304FD"/>
    <w:rsid w:val="000320F2"/>
    <w:rsid w:val="00051296"/>
    <w:rsid w:val="000615AF"/>
    <w:rsid w:val="00071247"/>
    <w:rsid w:val="00094057"/>
    <w:rsid w:val="000E05A8"/>
    <w:rsid w:val="000E6DA9"/>
    <w:rsid w:val="000F114A"/>
    <w:rsid w:val="0010449E"/>
    <w:rsid w:val="00127244"/>
    <w:rsid w:val="0015139C"/>
    <w:rsid w:val="00156172"/>
    <w:rsid w:val="00180442"/>
    <w:rsid w:val="001A068E"/>
    <w:rsid w:val="001A2E0F"/>
    <w:rsid w:val="001A3A24"/>
    <w:rsid w:val="001B0CA3"/>
    <w:rsid w:val="001B146F"/>
    <w:rsid w:val="001B4C7B"/>
    <w:rsid w:val="001B7F7E"/>
    <w:rsid w:val="001D5F35"/>
    <w:rsid w:val="001D78A3"/>
    <w:rsid w:val="001E4A24"/>
    <w:rsid w:val="001E69A3"/>
    <w:rsid w:val="00200DB8"/>
    <w:rsid w:val="002204D7"/>
    <w:rsid w:val="002323E2"/>
    <w:rsid w:val="00241D4A"/>
    <w:rsid w:val="0028630B"/>
    <w:rsid w:val="002B55C5"/>
    <w:rsid w:val="002F5F33"/>
    <w:rsid w:val="00307671"/>
    <w:rsid w:val="00361B0C"/>
    <w:rsid w:val="003621A4"/>
    <w:rsid w:val="00373C50"/>
    <w:rsid w:val="0038761A"/>
    <w:rsid w:val="003921A9"/>
    <w:rsid w:val="003A2CF9"/>
    <w:rsid w:val="003A6A17"/>
    <w:rsid w:val="003D68CD"/>
    <w:rsid w:val="003F1218"/>
    <w:rsid w:val="0041190B"/>
    <w:rsid w:val="00423724"/>
    <w:rsid w:val="00430CD7"/>
    <w:rsid w:val="00441B7A"/>
    <w:rsid w:val="00451614"/>
    <w:rsid w:val="00451B4E"/>
    <w:rsid w:val="00455BBD"/>
    <w:rsid w:val="00474981"/>
    <w:rsid w:val="0048002D"/>
    <w:rsid w:val="004865F0"/>
    <w:rsid w:val="00486DF3"/>
    <w:rsid w:val="004A20C4"/>
    <w:rsid w:val="004A4CA7"/>
    <w:rsid w:val="004D0168"/>
    <w:rsid w:val="004D332B"/>
    <w:rsid w:val="004D5ACA"/>
    <w:rsid w:val="004F01A7"/>
    <w:rsid w:val="005130E7"/>
    <w:rsid w:val="00520D85"/>
    <w:rsid w:val="00525DA2"/>
    <w:rsid w:val="00530ED5"/>
    <w:rsid w:val="00533C23"/>
    <w:rsid w:val="00546FBD"/>
    <w:rsid w:val="00553CA8"/>
    <w:rsid w:val="00563FA3"/>
    <w:rsid w:val="005A6BAD"/>
    <w:rsid w:val="005B0DFA"/>
    <w:rsid w:val="005E66C7"/>
    <w:rsid w:val="005F1EFE"/>
    <w:rsid w:val="0060398C"/>
    <w:rsid w:val="00624281"/>
    <w:rsid w:val="00627111"/>
    <w:rsid w:val="006277F2"/>
    <w:rsid w:val="00645488"/>
    <w:rsid w:val="006554D3"/>
    <w:rsid w:val="00657778"/>
    <w:rsid w:val="00664349"/>
    <w:rsid w:val="00682780"/>
    <w:rsid w:val="00686B3B"/>
    <w:rsid w:val="006A049A"/>
    <w:rsid w:val="006B49B9"/>
    <w:rsid w:val="006F4159"/>
    <w:rsid w:val="006F7024"/>
    <w:rsid w:val="00702ECE"/>
    <w:rsid w:val="0070362A"/>
    <w:rsid w:val="007151F5"/>
    <w:rsid w:val="007217B0"/>
    <w:rsid w:val="00722718"/>
    <w:rsid w:val="0072564D"/>
    <w:rsid w:val="00726266"/>
    <w:rsid w:val="007279B0"/>
    <w:rsid w:val="00730A12"/>
    <w:rsid w:val="0074093E"/>
    <w:rsid w:val="0074143E"/>
    <w:rsid w:val="00742861"/>
    <w:rsid w:val="007534C9"/>
    <w:rsid w:val="00774F68"/>
    <w:rsid w:val="00791A98"/>
    <w:rsid w:val="007B63D7"/>
    <w:rsid w:val="007E2473"/>
    <w:rsid w:val="007E6C3B"/>
    <w:rsid w:val="00807BFE"/>
    <w:rsid w:val="00807E58"/>
    <w:rsid w:val="00837479"/>
    <w:rsid w:val="00842126"/>
    <w:rsid w:val="00852F2E"/>
    <w:rsid w:val="00886A5B"/>
    <w:rsid w:val="00886B40"/>
    <w:rsid w:val="00892E19"/>
    <w:rsid w:val="008A30AF"/>
    <w:rsid w:val="008D2E6C"/>
    <w:rsid w:val="008E691E"/>
    <w:rsid w:val="008E6F83"/>
    <w:rsid w:val="00900DB7"/>
    <w:rsid w:val="00913624"/>
    <w:rsid w:val="009150B1"/>
    <w:rsid w:val="00925AEB"/>
    <w:rsid w:val="00926F6E"/>
    <w:rsid w:val="00935BA6"/>
    <w:rsid w:val="009560B9"/>
    <w:rsid w:val="00957482"/>
    <w:rsid w:val="00982A36"/>
    <w:rsid w:val="00984CAF"/>
    <w:rsid w:val="00985C90"/>
    <w:rsid w:val="00996F47"/>
    <w:rsid w:val="009B1BEC"/>
    <w:rsid w:val="009B7C55"/>
    <w:rsid w:val="009C126C"/>
    <w:rsid w:val="009D0089"/>
    <w:rsid w:val="009D1F3E"/>
    <w:rsid w:val="009D386C"/>
    <w:rsid w:val="009F38AB"/>
    <w:rsid w:val="009F7A53"/>
    <w:rsid w:val="00A12F8E"/>
    <w:rsid w:val="00A2229C"/>
    <w:rsid w:val="00A22BC0"/>
    <w:rsid w:val="00A22EF1"/>
    <w:rsid w:val="00A2324D"/>
    <w:rsid w:val="00A25222"/>
    <w:rsid w:val="00A345AA"/>
    <w:rsid w:val="00A537B4"/>
    <w:rsid w:val="00A53FE2"/>
    <w:rsid w:val="00A626CC"/>
    <w:rsid w:val="00A83E46"/>
    <w:rsid w:val="00A91F90"/>
    <w:rsid w:val="00AA1C19"/>
    <w:rsid w:val="00AD66E5"/>
    <w:rsid w:val="00AE69AF"/>
    <w:rsid w:val="00B02446"/>
    <w:rsid w:val="00B173AE"/>
    <w:rsid w:val="00B22972"/>
    <w:rsid w:val="00B36EA3"/>
    <w:rsid w:val="00B61DF1"/>
    <w:rsid w:val="00B62DC8"/>
    <w:rsid w:val="00B63783"/>
    <w:rsid w:val="00B643B0"/>
    <w:rsid w:val="00B7634C"/>
    <w:rsid w:val="00B8519F"/>
    <w:rsid w:val="00B91EA3"/>
    <w:rsid w:val="00BA1E82"/>
    <w:rsid w:val="00BC55FD"/>
    <w:rsid w:val="00BE1A3D"/>
    <w:rsid w:val="00BF7678"/>
    <w:rsid w:val="00C819E6"/>
    <w:rsid w:val="00C93F14"/>
    <w:rsid w:val="00CA6A23"/>
    <w:rsid w:val="00CC1BA0"/>
    <w:rsid w:val="00CC2A6D"/>
    <w:rsid w:val="00CC5447"/>
    <w:rsid w:val="00CE63E9"/>
    <w:rsid w:val="00D1419E"/>
    <w:rsid w:val="00D24E06"/>
    <w:rsid w:val="00D300A3"/>
    <w:rsid w:val="00D37095"/>
    <w:rsid w:val="00D44F09"/>
    <w:rsid w:val="00D6029A"/>
    <w:rsid w:val="00D66B02"/>
    <w:rsid w:val="00D67B5C"/>
    <w:rsid w:val="00D82956"/>
    <w:rsid w:val="00DA24B6"/>
    <w:rsid w:val="00DA2BE8"/>
    <w:rsid w:val="00DA705E"/>
    <w:rsid w:val="00DD68CD"/>
    <w:rsid w:val="00DF15CE"/>
    <w:rsid w:val="00DF19AD"/>
    <w:rsid w:val="00DF637C"/>
    <w:rsid w:val="00E253F2"/>
    <w:rsid w:val="00E30A47"/>
    <w:rsid w:val="00E327F0"/>
    <w:rsid w:val="00E655EE"/>
    <w:rsid w:val="00E76499"/>
    <w:rsid w:val="00E8425C"/>
    <w:rsid w:val="00E85816"/>
    <w:rsid w:val="00EA2582"/>
    <w:rsid w:val="00EB0465"/>
    <w:rsid w:val="00EB3E70"/>
    <w:rsid w:val="00ED7A55"/>
    <w:rsid w:val="00EE1F7D"/>
    <w:rsid w:val="00EE7896"/>
    <w:rsid w:val="00F05FE2"/>
    <w:rsid w:val="00F148A2"/>
    <w:rsid w:val="00F40819"/>
    <w:rsid w:val="00F52F2F"/>
    <w:rsid w:val="00F57991"/>
    <w:rsid w:val="00F7127E"/>
    <w:rsid w:val="00F729C7"/>
    <w:rsid w:val="00F754FD"/>
    <w:rsid w:val="00F75A37"/>
    <w:rsid w:val="00F8533E"/>
    <w:rsid w:val="00F97A92"/>
    <w:rsid w:val="00FA2CB5"/>
    <w:rsid w:val="00FC2F84"/>
    <w:rsid w:val="00FC30D2"/>
    <w:rsid w:val="00FF0C14"/>
    <w:rsid w:val="00FF1893"/>
    <w:rsid w:val="00FF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43E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74143E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74143E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74143E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74143E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74143E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74143E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74143E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74143E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74143E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74143E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74143E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74143E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74143E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74143E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74143E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74143E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74143E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74143E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74143E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74143E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74143E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74143E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74143E"/>
    <w:pPr>
      <w:suppressAutoHyphens/>
    </w:pPr>
  </w:style>
  <w:style w:type="paragraph" w:customStyle="1" w:styleId="TCE">
    <w:name w:val="TCE"/>
    <w:basedOn w:val="Normal"/>
    <w:rsid w:val="0074143E"/>
    <w:pPr>
      <w:suppressAutoHyphens/>
      <w:ind w:left="144" w:hanging="144"/>
    </w:pPr>
  </w:style>
  <w:style w:type="paragraph" w:customStyle="1" w:styleId="EOS">
    <w:name w:val="EOS"/>
    <w:basedOn w:val="Normal"/>
    <w:rsid w:val="0074143E"/>
    <w:pPr>
      <w:suppressAutoHyphens/>
      <w:spacing w:before="480"/>
      <w:jc w:val="both"/>
    </w:pPr>
  </w:style>
  <w:style w:type="paragraph" w:customStyle="1" w:styleId="ANT">
    <w:name w:val="ANT"/>
    <w:basedOn w:val="Normal"/>
    <w:rsid w:val="0074143E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74143E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74143E"/>
  </w:style>
  <w:style w:type="character" w:customStyle="1" w:styleId="SPN">
    <w:name w:val="SPN"/>
    <w:basedOn w:val="DefaultParagraphFont"/>
    <w:rsid w:val="0074143E"/>
  </w:style>
  <w:style w:type="character" w:customStyle="1" w:styleId="SPD">
    <w:name w:val="SPD"/>
    <w:basedOn w:val="DefaultParagraphFont"/>
    <w:rsid w:val="0074143E"/>
  </w:style>
  <w:style w:type="character" w:customStyle="1" w:styleId="NUM">
    <w:name w:val="NUM"/>
    <w:basedOn w:val="DefaultParagraphFont"/>
    <w:rsid w:val="0074143E"/>
  </w:style>
  <w:style w:type="character" w:customStyle="1" w:styleId="NAM">
    <w:name w:val="NAM"/>
    <w:basedOn w:val="DefaultParagraphFont"/>
    <w:rsid w:val="0074143E"/>
  </w:style>
  <w:style w:type="character" w:customStyle="1" w:styleId="SI">
    <w:name w:val="SI"/>
    <w:basedOn w:val="DefaultParagraphFont"/>
    <w:rsid w:val="0074143E"/>
    <w:rPr>
      <w:color w:val="008080"/>
    </w:rPr>
  </w:style>
  <w:style w:type="character" w:customStyle="1" w:styleId="IP">
    <w:name w:val="IP"/>
    <w:basedOn w:val="DefaultParagraphFont"/>
    <w:rsid w:val="0074143E"/>
    <w:rPr>
      <w:color w:val="FF0000"/>
    </w:rPr>
  </w:style>
  <w:style w:type="paragraph" w:customStyle="1" w:styleId="RJUST">
    <w:name w:val="RJUST"/>
    <w:basedOn w:val="Normal"/>
    <w:rsid w:val="0074143E"/>
    <w:pPr>
      <w:jc w:val="right"/>
    </w:pPr>
  </w:style>
  <w:style w:type="paragraph" w:styleId="Header">
    <w:name w:val="header"/>
    <w:basedOn w:val="Normal"/>
    <w:link w:val="HeaderChar"/>
    <w:rsid w:val="006A0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049A"/>
    <w:rPr>
      <w:sz w:val="22"/>
    </w:rPr>
  </w:style>
  <w:style w:type="paragraph" w:styleId="Footer">
    <w:name w:val="footer"/>
    <w:basedOn w:val="Normal"/>
    <w:link w:val="FooterChar"/>
    <w:rsid w:val="006A0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049A"/>
    <w:rPr>
      <w:sz w:val="22"/>
    </w:rPr>
  </w:style>
  <w:style w:type="paragraph" w:styleId="BalloonText">
    <w:name w:val="Balloon Text"/>
    <w:basedOn w:val="Normal"/>
    <w:link w:val="BalloonTextChar"/>
    <w:rsid w:val="00EE1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1F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37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sny.org/construc/build_comm_guide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D309-0185-403D-A7DA-5E109931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019113 - GENERAL COMMISSIONING REQUIREMENTS</vt:lpstr>
    </vt:vector>
  </TitlesOfParts>
  <Company> 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019113 - GENERAL COMMISSIONING REQUIREMENTS</dc:title>
  <dc:subject>GENERAL COMMISSIONING REQUIREMENTS</dc:subject>
  <dc:creator>ARCOM, Inc.</dc:creator>
  <cp:keywords>BAS-12345-MS80</cp:keywords>
  <cp:lastModifiedBy>amawn</cp:lastModifiedBy>
  <cp:revision>13</cp:revision>
  <cp:lastPrinted>2010-04-20T15:20:00Z</cp:lastPrinted>
  <dcterms:created xsi:type="dcterms:W3CDTF">2009-09-24T13:54:00Z</dcterms:created>
  <dcterms:modified xsi:type="dcterms:W3CDTF">2011-05-23T18:11:00Z</dcterms:modified>
</cp:coreProperties>
</file>