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58E8" w:rsidRDefault="00F558E8">
      <w:pPr>
        <w:pStyle w:val="SCT"/>
      </w:pPr>
      <w:r>
        <w:t xml:space="preserve">SECTION </w:t>
      </w:r>
      <w:r>
        <w:rPr>
          <w:rStyle w:val="NUM"/>
        </w:rPr>
        <w:t>018113</w:t>
      </w:r>
      <w:r>
        <w:t xml:space="preserve"> - </w:t>
      </w:r>
      <w:r>
        <w:rPr>
          <w:rStyle w:val="NAM"/>
        </w:rPr>
        <w:t>SUSTAINABLE DESIGN REQUIREMENTS</w:t>
      </w:r>
    </w:p>
    <w:p w:rsidR="00F558E8" w:rsidRDefault="00F558E8">
      <w:pPr>
        <w:pStyle w:val="PRT"/>
      </w:pPr>
      <w:r>
        <w:t>GENERAL</w:t>
      </w:r>
    </w:p>
    <w:p w:rsidR="00F558E8" w:rsidRDefault="00F558E8">
      <w:pPr>
        <w:pStyle w:val="ART"/>
      </w:pPr>
      <w:r>
        <w:t>RELATED DOCUMENTS</w:t>
      </w:r>
    </w:p>
    <w:p w:rsidR="00F558E8" w:rsidRDefault="000738A2">
      <w:pPr>
        <w:pStyle w:val="PR1"/>
      </w:pPr>
      <w:r>
        <w:t>The Contract Documents</w:t>
      </w:r>
      <w:r w:rsidR="009D6030">
        <w:t xml:space="preserve">, </w:t>
      </w:r>
      <w:r w:rsidR="006C49EB">
        <w:t xml:space="preserve">including but not limited to, the </w:t>
      </w:r>
      <w:r w:rsidR="009D6030">
        <w:t>D</w:t>
      </w:r>
      <w:r w:rsidR="00F558E8">
        <w:t xml:space="preserve">rawings and </w:t>
      </w:r>
      <w:r w:rsidR="009D6030">
        <w:t xml:space="preserve">Individual </w:t>
      </w:r>
      <w:r w:rsidR="00F558E8">
        <w:t>Specification Sections</w:t>
      </w:r>
      <w:r w:rsidR="006C49EB">
        <w:t>,</w:t>
      </w:r>
      <w:r w:rsidR="00F558E8">
        <w:t xml:space="preserve"> apply to this Section.</w:t>
      </w:r>
    </w:p>
    <w:p w:rsidR="00F558E8" w:rsidRDefault="00F558E8">
      <w:pPr>
        <w:pStyle w:val="ART"/>
      </w:pPr>
      <w:r>
        <w:t>SUMMARY</w:t>
      </w:r>
    </w:p>
    <w:p w:rsidR="00F558E8" w:rsidRPr="00A61A43" w:rsidRDefault="00CE77CF">
      <w:pPr>
        <w:pStyle w:val="PR1"/>
      </w:pPr>
      <w:r>
        <w:t xml:space="preserve">Specified </w:t>
      </w:r>
      <w:r w:rsidR="00F92C1A">
        <w:t xml:space="preserve">as </w:t>
      </w:r>
      <w:r>
        <w:t xml:space="preserve">Work </w:t>
      </w:r>
      <w:r w:rsidR="009D6030">
        <w:t>of the Contract Documents, this s</w:t>
      </w:r>
      <w:r w:rsidR="00F558E8">
        <w:t>ection includes general requirements and procedures for compliance with certain USGBC LEED prerequisites and credits needed for Project to obtain LEED</w:t>
      </w:r>
      <w:r w:rsidR="009D6030">
        <w:t xml:space="preserve"> certification; </w:t>
      </w:r>
      <w:r w:rsidR="00F558E8" w:rsidRPr="009D6030">
        <w:t>Certified</w:t>
      </w:r>
      <w:r w:rsidR="009D6030" w:rsidRPr="009D6030">
        <w:t xml:space="preserve"> or </w:t>
      </w:r>
      <w:r w:rsidR="00F558E8" w:rsidRPr="009D6030">
        <w:t>Silver</w:t>
      </w:r>
      <w:r w:rsidR="009D6030" w:rsidRPr="009D6030">
        <w:t xml:space="preserve"> or </w:t>
      </w:r>
      <w:r w:rsidR="00F558E8" w:rsidRPr="009D6030">
        <w:t>Gold</w:t>
      </w:r>
      <w:r w:rsidR="009D6030">
        <w:rPr>
          <w:b/>
        </w:rPr>
        <w:t xml:space="preserve"> </w:t>
      </w:r>
      <w:r w:rsidR="009D6030" w:rsidRPr="009D6030">
        <w:t xml:space="preserve">or </w:t>
      </w:r>
      <w:r w:rsidR="00F558E8" w:rsidRPr="009D6030">
        <w:t>Platinum</w:t>
      </w:r>
      <w:r w:rsidR="00F558E8">
        <w:t xml:space="preserve"> based on </w:t>
      </w:r>
      <w:r w:rsidR="00F558E8" w:rsidRPr="00A61A43">
        <w:t>LEED-</w:t>
      </w:r>
      <w:r w:rsidR="00F25927">
        <w:t>D+C</w:t>
      </w:r>
      <w:r w:rsidR="00F558E8" w:rsidRPr="00A61A43">
        <w:t>, Version </w:t>
      </w:r>
      <w:r w:rsidR="00594735">
        <w:t>3</w:t>
      </w:r>
      <w:r w:rsidR="00A61A43" w:rsidRPr="00A61A43">
        <w:t>.</w:t>
      </w:r>
    </w:p>
    <w:p w:rsidR="00F558E8" w:rsidRDefault="00F558E8">
      <w:pPr>
        <w:pStyle w:val="PR2"/>
        <w:spacing w:before="240"/>
      </w:pPr>
      <w:r>
        <w:t>Other LEED prerequisites and credits needed to obtain LEED certification depend on material selections and may not be specifically identified as LEED requirements.  Compliance with requirements needed to obtain LEED prerequisites and credits may be used as one criterion to evaluate substitution requests and comparable product requests.</w:t>
      </w:r>
    </w:p>
    <w:p w:rsidR="00F558E8" w:rsidRDefault="00F558E8">
      <w:pPr>
        <w:pStyle w:val="PR1"/>
      </w:pPr>
      <w:r>
        <w:t>Related Sections:</w:t>
      </w:r>
    </w:p>
    <w:p w:rsidR="00705328" w:rsidRDefault="00705328">
      <w:pPr>
        <w:pStyle w:val="PR2"/>
        <w:spacing w:before="240"/>
      </w:pPr>
      <w:r>
        <w:t>Section 013300 – Submittal Procedure, for administrative procedures on submittals.</w:t>
      </w:r>
    </w:p>
    <w:p w:rsidR="00F558E8" w:rsidRDefault="00705328">
      <w:pPr>
        <w:pStyle w:val="PR2"/>
      </w:pPr>
      <w:r>
        <w:t>Individual Specification</w:t>
      </w:r>
      <w:r w:rsidR="00F558E8">
        <w:t xml:space="preserve"> Sections for LEED requirements specific to the work of each of these Sections.  Requirements may or may not include reference to LEED.</w:t>
      </w:r>
    </w:p>
    <w:p w:rsidR="00F558E8" w:rsidRDefault="00F558E8">
      <w:pPr>
        <w:pStyle w:val="ART"/>
      </w:pPr>
      <w:r>
        <w:t>DEFINITIONS</w:t>
      </w:r>
    </w:p>
    <w:p w:rsidR="00F558E8" w:rsidRDefault="00F558E8">
      <w:pPr>
        <w:pStyle w:val="PR1"/>
      </w:pPr>
      <w:r>
        <w:t>Chain-of-Custody Certificates:  Certificates signed by manufacturers certifying that wood used to make products was obtained from forests certified by an FSC-accredited certification body</w:t>
      </w:r>
      <w:r w:rsidR="00D177CC">
        <w:t>,</w:t>
      </w:r>
      <w:r>
        <w:t xml:space="preserve"> "FSC Principles and Criteria for Forest Stewardship."  Certificates shall include evidence that manufacturer is certified for chain of custody by an FSC</w:t>
      </w:r>
      <w:r w:rsidR="00BF5456">
        <w:t xml:space="preserve"> </w:t>
      </w:r>
      <w:r>
        <w:t>accredited certification body.</w:t>
      </w:r>
    </w:p>
    <w:p w:rsidR="00F558E8" w:rsidRDefault="00F558E8">
      <w:pPr>
        <w:pStyle w:val="PR1"/>
      </w:pPr>
      <w:r>
        <w:t>LEED:  Leadership in Energy &amp; Environmental Design.</w:t>
      </w:r>
    </w:p>
    <w:p w:rsidR="00F558E8" w:rsidRDefault="00F558E8">
      <w:pPr>
        <w:pStyle w:val="PR1"/>
      </w:pPr>
      <w:r>
        <w:t>Rapidly Renewable Materials:  Materials made from plants that are typically harvested within a 10-year or shorter cycle.  Rapidly renewable materials include products made from bamboo, cotton, flax, jute, straw, sunflower seed hulls, vegetable oils, or wool.</w:t>
      </w:r>
    </w:p>
    <w:p w:rsidR="00F558E8" w:rsidRDefault="00F558E8">
      <w:pPr>
        <w:pStyle w:val="PR1"/>
      </w:pPr>
      <w:r>
        <w:t xml:space="preserve">Regional Materials:  Materials that have been extracted, harvested, or recovered, as well as manufactured, within </w:t>
      </w:r>
      <w:r w:rsidRPr="00391EFE">
        <w:rPr>
          <w:rStyle w:val="IP"/>
          <w:color w:val="auto"/>
        </w:rPr>
        <w:t>500 miles</w:t>
      </w:r>
      <w:r>
        <w:rPr>
          <w:rStyle w:val="SI"/>
        </w:rPr>
        <w:t xml:space="preserve"> </w:t>
      </w:r>
      <w:r>
        <w:t>of Project site.  If only a fraction of a product or material is extracted/harvested/recovered and manufactured locally, then only that percentage (by weight) shall contribute to the regional value.</w:t>
      </w:r>
    </w:p>
    <w:p w:rsidR="00F558E8" w:rsidRDefault="00F558E8">
      <w:pPr>
        <w:pStyle w:val="PR1"/>
      </w:pPr>
      <w:r>
        <w:lastRenderedPageBreak/>
        <w:t>Recycled Content:  The recycled content value of a material assembly shall be determined by weight.  The recycled fraction of the assembly is then multiplied by the cost of assembly to determine the recycled content value.</w:t>
      </w:r>
    </w:p>
    <w:p w:rsidR="00F558E8" w:rsidRDefault="00F558E8">
      <w:pPr>
        <w:pStyle w:val="PR2"/>
        <w:spacing w:before="240"/>
      </w:pPr>
      <w:r>
        <w:t>"Post-consumer" material is defined as waste material generated by households or by commercial, industrial, and institutional facilities in their role as end users of the product, which can no longer be used for its intended purpose.</w:t>
      </w:r>
    </w:p>
    <w:p w:rsidR="00F558E8" w:rsidRDefault="00F558E8">
      <w:pPr>
        <w:pStyle w:val="PR2"/>
      </w:pPr>
      <w:r>
        <w:t>"Pre-consumer" material is defined as material diverted from the waste stream during the manufacturing process.  Excluded is reutilization of materials such as rework, regrind, or scrap generated in a process and capable of being reclaimed within the same process that generated it.</w:t>
      </w:r>
    </w:p>
    <w:p w:rsidR="00F558E8" w:rsidRDefault="00F558E8">
      <w:pPr>
        <w:pStyle w:val="ART"/>
      </w:pPr>
      <w:r>
        <w:t>SUBMITTALS</w:t>
      </w:r>
    </w:p>
    <w:p w:rsidR="00F558E8" w:rsidRDefault="00F558E8">
      <w:pPr>
        <w:pStyle w:val="PR1"/>
      </w:pPr>
      <w:r>
        <w:t xml:space="preserve">General:  Submit additional LEED submittals </w:t>
      </w:r>
      <w:r w:rsidR="00705328">
        <w:t xml:space="preserve">to comply with </w:t>
      </w:r>
      <w:r>
        <w:t>Section</w:t>
      </w:r>
      <w:r w:rsidR="00705328">
        <w:t xml:space="preserve"> 013300 – Submittal Procedure</w:t>
      </w:r>
      <w:r>
        <w:t>.</w:t>
      </w:r>
    </w:p>
    <w:p w:rsidR="00F558E8" w:rsidRDefault="00F558E8">
      <w:pPr>
        <w:pStyle w:val="PR1"/>
      </w:pPr>
      <w:r>
        <w:t xml:space="preserve">LEED submittals are in addition to other submittals.  If </w:t>
      </w:r>
      <w:r w:rsidR="00CE3414">
        <w:t xml:space="preserve">submittal </w:t>
      </w:r>
      <w:r>
        <w:t>item is identical to that submitted to comply with other requirements, submit duplicate copies as a separate submittal to verify compliance with indicated LEED requirements.</w:t>
      </w:r>
    </w:p>
    <w:p w:rsidR="00F558E8" w:rsidRDefault="00F558E8">
      <w:pPr>
        <w:pStyle w:val="PR1"/>
      </w:pPr>
      <w:r>
        <w:t>Project Materials Cost Data:  Provide statement indicating total cost for materials used for Project.  Costs exclude labor, overhead, and profit.  Include breakout of costs for the following categories of items:</w:t>
      </w:r>
    </w:p>
    <w:p w:rsidR="00F558E8" w:rsidRDefault="00F558E8">
      <w:pPr>
        <w:pStyle w:val="PR2"/>
        <w:spacing w:before="240"/>
      </w:pPr>
      <w:r>
        <w:t>Furniture.</w:t>
      </w:r>
    </w:p>
    <w:p w:rsidR="00F558E8" w:rsidRDefault="00F558E8">
      <w:pPr>
        <w:pStyle w:val="PR2"/>
      </w:pPr>
      <w:r>
        <w:t>Plumbing.</w:t>
      </w:r>
    </w:p>
    <w:p w:rsidR="00F558E8" w:rsidRDefault="00F558E8">
      <w:pPr>
        <w:pStyle w:val="PR2"/>
      </w:pPr>
      <w:r>
        <w:t>Mechanical.</w:t>
      </w:r>
    </w:p>
    <w:p w:rsidR="00F558E8" w:rsidRDefault="00F558E8">
      <w:pPr>
        <w:pStyle w:val="PR2"/>
      </w:pPr>
      <w:r>
        <w:t>Electrical.</w:t>
      </w:r>
    </w:p>
    <w:p w:rsidR="00F558E8" w:rsidRDefault="00F558E8">
      <w:pPr>
        <w:pStyle w:val="PR2"/>
      </w:pPr>
      <w:r>
        <w:t>Specialty items such as elevators and equipment.</w:t>
      </w:r>
    </w:p>
    <w:p w:rsidR="00F558E8" w:rsidRDefault="00F558E8">
      <w:pPr>
        <w:pStyle w:val="PR2"/>
      </w:pPr>
      <w:r>
        <w:t>Wood-based construction materials.</w:t>
      </w:r>
    </w:p>
    <w:p w:rsidR="00F558E8" w:rsidRDefault="00F558E8">
      <w:pPr>
        <w:pStyle w:val="PR1"/>
      </w:pPr>
      <w:r>
        <w:t xml:space="preserve">LEED Action Plans:  Provide preliminary submittals within </w:t>
      </w:r>
      <w:r w:rsidRPr="00391EFE">
        <w:t>30</w:t>
      </w:r>
      <w:r w:rsidR="00391EFE">
        <w:rPr>
          <w:b/>
        </w:rPr>
        <w:t xml:space="preserve"> </w:t>
      </w:r>
      <w:r>
        <w:t xml:space="preserve">days of date established for </w:t>
      </w:r>
      <w:r w:rsidRPr="00A61A43">
        <w:t>the Notice to Proceed</w:t>
      </w:r>
      <w:r w:rsidR="00A61A43">
        <w:rPr>
          <w:b/>
        </w:rPr>
        <w:t xml:space="preserve"> </w:t>
      </w:r>
      <w:r>
        <w:t>indicating how the following requirements will be met:</w:t>
      </w:r>
    </w:p>
    <w:p w:rsidR="00F558E8" w:rsidRDefault="00F558E8">
      <w:pPr>
        <w:pStyle w:val="PR2"/>
        <w:spacing w:before="240"/>
      </w:pPr>
      <w:permStart w:id="0" w:edGrp="everyone"/>
      <w:r>
        <w:t>Credit MR 2.1</w:t>
      </w:r>
      <w:r w:rsidR="00391EFE">
        <w:t xml:space="preserve"> or </w:t>
      </w:r>
      <w:r w:rsidRPr="00391EFE">
        <w:t>Credit MR 2.2</w:t>
      </w:r>
      <w:r>
        <w:t>:  Waste management plan</w:t>
      </w:r>
      <w:r w:rsidR="00A61A43">
        <w:t>.</w:t>
      </w:r>
    </w:p>
    <w:p w:rsidR="00F558E8" w:rsidRDefault="00F558E8">
      <w:pPr>
        <w:pStyle w:val="PR2"/>
      </w:pPr>
      <w:r>
        <w:t>Credit MR 3.1</w:t>
      </w:r>
      <w:r w:rsidR="002A6949">
        <w:t xml:space="preserve"> or </w:t>
      </w:r>
      <w:r w:rsidRPr="002A6949">
        <w:t>Credit MR 3.2</w:t>
      </w:r>
      <w:r>
        <w:t>:  List of proposed salvaged and refurbished materials.  Identify each material that will be salvaged or refurbished, including its source, cost, and replacement cost if the item was to be purchased new.</w:t>
      </w:r>
    </w:p>
    <w:p w:rsidR="00F558E8" w:rsidRDefault="00F558E8">
      <w:pPr>
        <w:pStyle w:val="PR2"/>
      </w:pPr>
      <w:r>
        <w:t>Credit MR 4.1</w:t>
      </w:r>
      <w:r w:rsidR="002A6949">
        <w:t xml:space="preserve"> or </w:t>
      </w:r>
      <w:r w:rsidRPr="002A6949">
        <w:t>Credit MR 4.2:</w:t>
      </w:r>
      <w:r>
        <w:t xml:space="preserve">  List of proposed materials with recycled content.  Indicate cost, post-consumer recycled content, and pre-consumer recycled content for each product having recycled content.</w:t>
      </w:r>
    </w:p>
    <w:p w:rsidR="00F558E8" w:rsidRDefault="00F558E8">
      <w:pPr>
        <w:pStyle w:val="PR2"/>
      </w:pPr>
      <w:r>
        <w:t>Credit MR 5.1</w:t>
      </w:r>
      <w:r w:rsidR="002A6949">
        <w:t xml:space="preserve">or </w:t>
      </w:r>
      <w:r w:rsidRPr="002A6949">
        <w:t>Credit MR 5.2</w:t>
      </w:r>
      <w:r>
        <w:t>:  List of proposed regional materials.  Identify each regional material, including its source, cost, and the fraction by weight that is considered regional.</w:t>
      </w:r>
    </w:p>
    <w:p w:rsidR="00F558E8" w:rsidRDefault="00F558E8">
      <w:pPr>
        <w:pStyle w:val="PR2"/>
      </w:pPr>
      <w:r>
        <w:t>Credit </w:t>
      </w:r>
      <w:r w:rsidRPr="002A6949">
        <w:t>MR 7</w:t>
      </w:r>
      <w:r>
        <w:t>:  List of proposed certified wood products.  Indicate each product containing certified wood, including its source and cost of certified wood products.</w:t>
      </w:r>
    </w:p>
    <w:p w:rsidR="00F558E8" w:rsidRDefault="00F558E8">
      <w:pPr>
        <w:pStyle w:val="PR2"/>
      </w:pPr>
      <w:r>
        <w:t>Credit </w:t>
      </w:r>
      <w:r w:rsidRPr="002A6949">
        <w:t>EQ 3.1</w:t>
      </w:r>
      <w:r>
        <w:t>:  Construction indoor-air-quality management plan.</w:t>
      </w:r>
    </w:p>
    <w:permEnd w:id="0"/>
    <w:p w:rsidR="00F558E8" w:rsidRDefault="00F558E8">
      <w:pPr>
        <w:pStyle w:val="PR1"/>
      </w:pPr>
      <w:r>
        <w:lastRenderedPageBreak/>
        <w:t>LEED Progress Reports:  Concurrent with each Application for Payment, submit reports comparing actual construction and purchasing activities with LEED action plans for the following:</w:t>
      </w:r>
    </w:p>
    <w:p w:rsidR="00F558E8" w:rsidRDefault="00F558E8">
      <w:pPr>
        <w:pStyle w:val="PR2"/>
        <w:spacing w:before="240"/>
      </w:pPr>
      <w:permStart w:id="1" w:edGrp="everyone"/>
      <w:r>
        <w:t>Credit MR 2.1</w:t>
      </w:r>
      <w:r w:rsidR="002A6949">
        <w:t xml:space="preserve"> or </w:t>
      </w:r>
      <w:r w:rsidRPr="002A6949">
        <w:t>Credit MR 2.2:</w:t>
      </w:r>
      <w:r>
        <w:t xml:space="preserve">  Waste reduction progress reports</w:t>
      </w:r>
      <w:r w:rsidR="007272EF">
        <w:t>.</w:t>
      </w:r>
    </w:p>
    <w:p w:rsidR="00F558E8" w:rsidRDefault="00F558E8">
      <w:pPr>
        <w:pStyle w:val="PR2"/>
      </w:pPr>
      <w:r>
        <w:t>Credit MR 3.1</w:t>
      </w:r>
      <w:r w:rsidR="002A6949">
        <w:t xml:space="preserve"> or </w:t>
      </w:r>
      <w:r w:rsidRPr="002A6949">
        <w:t>Credit MR 3.2:</w:t>
      </w:r>
      <w:r>
        <w:t xml:space="preserve">  Salvaged and refurbished materials.</w:t>
      </w:r>
    </w:p>
    <w:p w:rsidR="00F558E8" w:rsidRDefault="00F558E8">
      <w:pPr>
        <w:pStyle w:val="PR2"/>
      </w:pPr>
      <w:r>
        <w:t>Credit MR 4.1</w:t>
      </w:r>
      <w:r w:rsidR="002A6949">
        <w:t xml:space="preserve"> or </w:t>
      </w:r>
      <w:r w:rsidRPr="002A6949">
        <w:t>Credit MR 4.2</w:t>
      </w:r>
      <w:r>
        <w:t>:  Recycled content.</w:t>
      </w:r>
    </w:p>
    <w:p w:rsidR="00F558E8" w:rsidRDefault="00F558E8">
      <w:pPr>
        <w:pStyle w:val="PR2"/>
      </w:pPr>
      <w:r>
        <w:t>Credit MR 5.1</w:t>
      </w:r>
      <w:r w:rsidR="002A6949">
        <w:t xml:space="preserve"> or </w:t>
      </w:r>
      <w:r w:rsidRPr="002A6949">
        <w:t>Credit MR 5.2</w:t>
      </w:r>
      <w:r>
        <w:t>:  Regional materials.</w:t>
      </w:r>
    </w:p>
    <w:permEnd w:id="1"/>
    <w:p w:rsidR="00F558E8" w:rsidRDefault="00F558E8">
      <w:pPr>
        <w:pStyle w:val="PR1"/>
      </w:pPr>
      <w:r>
        <w:t>LEED Documentation Submittals:</w:t>
      </w:r>
    </w:p>
    <w:p w:rsidR="00F558E8" w:rsidRDefault="00F558E8">
      <w:pPr>
        <w:pStyle w:val="PR2"/>
        <w:spacing w:before="240"/>
      </w:pPr>
      <w:permStart w:id="2" w:edGrp="everyone"/>
      <w:r>
        <w:t xml:space="preserve">Credit EA 5:  Product data and wiring diagrams for sensors and data collection system used to provide continuous metering of building energy-consumption performance over </w:t>
      </w:r>
      <w:r w:rsidRPr="001C027E">
        <w:t>time</w:t>
      </w:r>
      <w:r w:rsidR="001C027E" w:rsidRPr="001C027E">
        <w:t>.</w:t>
      </w:r>
    </w:p>
    <w:p w:rsidR="00F558E8" w:rsidRDefault="00F558E8">
      <w:pPr>
        <w:pStyle w:val="PR2"/>
      </w:pPr>
      <w:r>
        <w:t>Credit MR 2.1</w:t>
      </w:r>
      <w:r w:rsidR="001C027E">
        <w:t xml:space="preserve"> or </w:t>
      </w:r>
      <w:r w:rsidRPr="001C027E">
        <w:t>Credit MR 2.2</w:t>
      </w:r>
      <w:r>
        <w:t>:  Comply with Waste Management and Disposal</w:t>
      </w:r>
      <w:r w:rsidR="001C027E">
        <w:t xml:space="preserve"> Plan</w:t>
      </w:r>
      <w:r>
        <w:t>.</w:t>
      </w:r>
    </w:p>
    <w:p w:rsidR="00F558E8" w:rsidRDefault="00F558E8">
      <w:pPr>
        <w:pStyle w:val="PR2"/>
      </w:pPr>
      <w:r>
        <w:t>Credit MR 3.1</w:t>
      </w:r>
      <w:r w:rsidR="001C027E">
        <w:t xml:space="preserve"> or </w:t>
      </w:r>
      <w:r w:rsidRPr="001C027E">
        <w:t>Credit MR 3.2</w:t>
      </w:r>
      <w:r>
        <w:t>:  Receipts for salvaged and refurbished materials used for Project, indicating sources and costs for salvaged and refurbished materials.</w:t>
      </w:r>
    </w:p>
    <w:p w:rsidR="00F558E8" w:rsidRDefault="00F558E8">
      <w:pPr>
        <w:pStyle w:val="PR2"/>
      </w:pPr>
      <w:r>
        <w:t>Credit MR 4.1</w:t>
      </w:r>
      <w:r w:rsidR="001C027E">
        <w:t xml:space="preserve"> or </w:t>
      </w:r>
      <w:r w:rsidRPr="001C027E">
        <w:t>Credit MR 4.2</w:t>
      </w:r>
      <w:r>
        <w:t>:  Product data and certification letter indicating percentages by weight of post-consumer and pre-consumer recycled content for products having recycled content.  Include statement indicating costs for each product having recycled content.</w:t>
      </w:r>
    </w:p>
    <w:p w:rsidR="00F558E8" w:rsidRDefault="00F558E8">
      <w:pPr>
        <w:pStyle w:val="PR2"/>
      </w:pPr>
      <w:r>
        <w:t>Credit MR 5.1</w:t>
      </w:r>
      <w:r w:rsidR="001C027E">
        <w:t xml:space="preserve"> or </w:t>
      </w:r>
      <w:r w:rsidRPr="001C027E">
        <w:t>Credit MR 5.2</w:t>
      </w:r>
      <w:r>
        <w:t>:  Product data for regional materials indicating location and distance from Project of material manufacturer and point of extraction, harvest, or recovery for each raw material.  Include statement indicating cost for each regional material and the fraction by weight that is considered regional.</w:t>
      </w:r>
    </w:p>
    <w:p w:rsidR="00F558E8" w:rsidRDefault="00F558E8">
      <w:pPr>
        <w:pStyle w:val="PR2"/>
      </w:pPr>
      <w:r>
        <w:t>Credit </w:t>
      </w:r>
      <w:r w:rsidRPr="001C027E">
        <w:t>MR 7</w:t>
      </w:r>
      <w:r>
        <w:t>:  Product data and chain-of-custody certificates for products containing certified wood.  Include statement indicating cost for each certified wood product.</w:t>
      </w:r>
    </w:p>
    <w:p w:rsidR="00F558E8" w:rsidRDefault="00F558E8">
      <w:pPr>
        <w:pStyle w:val="PR2"/>
      </w:pPr>
      <w:r>
        <w:t>Credit </w:t>
      </w:r>
      <w:r w:rsidRPr="001C027E">
        <w:t>EQ 3.1</w:t>
      </w:r>
      <w:r>
        <w:t>:</w:t>
      </w:r>
    </w:p>
    <w:p w:rsidR="00F558E8" w:rsidRDefault="00F558E8">
      <w:pPr>
        <w:pStyle w:val="PR3"/>
        <w:spacing w:before="240"/>
      </w:pPr>
      <w:r>
        <w:t>Construction indoor-air-quality management plan.</w:t>
      </w:r>
    </w:p>
    <w:p w:rsidR="00F558E8" w:rsidRDefault="00F558E8">
      <w:pPr>
        <w:pStyle w:val="PR3"/>
      </w:pPr>
      <w:r>
        <w:t>Product data for temporary filtration media.</w:t>
      </w:r>
    </w:p>
    <w:p w:rsidR="00F558E8" w:rsidRDefault="00F558E8">
      <w:pPr>
        <w:pStyle w:val="PR3"/>
      </w:pPr>
      <w:r>
        <w:t>Product data for filtration media used during occupancy.</w:t>
      </w:r>
    </w:p>
    <w:p w:rsidR="00F558E8" w:rsidRDefault="00F558E8">
      <w:pPr>
        <w:pStyle w:val="PR3"/>
      </w:pPr>
      <w:r>
        <w:t xml:space="preserve">Construction Documentation:  Six photographs </w:t>
      </w:r>
      <w:r w:rsidR="00BF5456">
        <w:t xml:space="preserve">each </w:t>
      </w:r>
      <w:r>
        <w:t>at three different times during the construction period, along with a brief description of the SMACNA approach employed, documenting implementation of the indoor-air-quality management measures, such as protection of ducts and on-site stored or installed absorptive materials.</w:t>
      </w:r>
    </w:p>
    <w:p w:rsidR="00F558E8" w:rsidRDefault="00F558E8">
      <w:pPr>
        <w:pStyle w:val="PR2"/>
        <w:spacing w:before="240"/>
      </w:pPr>
      <w:r>
        <w:t>Credit EQ 3.2:</w:t>
      </w:r>
    </w:p>
    <w:p w:rsidR="00F558E8" w:rsidRDefault="00BF5456">
      <w:pPr>
        <w:pStyle w:val="PR3"/>
        <w:spacing w:before="240"/>
      </w:pPr>
      <w:r>
        <w:t>D</w:t>
      </w:r>
      <w:r w:rsidR="00F558E8">
        <w:t>escrib</w:t>
      </w:r>
      <w:r>
        <w:t>e</w:t>
      </w:r>
      <w:r w:rsidR="00F558E8">
        <w:t xml:space="preserve"> the building air flush-out procedures including the dates when flush-out was begun and completed and statement that filtration media was replaced after flush-out.</w:t>
      </w:r>
    </w:p>
    <w:p w:rsidR="00F558E8" w:rsidRDefault="00F558E8">
      <w:pPr>
        <w:pStyle w:val="PR3"/>
      </w:pPr>
      <w:r>
        <w:t>Product data for filtration media used during flush-out and during occupancy.</w:t>
      </w:r>
    </w:p>
    <w:p w:rsidR="00F558E8" w:rsidRDefault="00F558E8">
      <w:pPr>
        <w:pStyle w:val="PR3"/>
      </w:pPr>
      <w:r>
        <w:t>Report from testing and inspecting agency indicating results of indoor-air-quality testing and documentation showing compliance with indoor-air-quality testing procedures and requirements.</w:t>
      </w:r>
    </w:p>
    <w:p w:rsidR="00F558E8" w:rsidRDefault="00F558E8">
      <w:pPr>
        <w:pStyle w:val="PR2"/>
        <w:spacing w:before="240"/>
      </w:pPr>
      <w:r>
        <w:t>Credit EQ 4.1:  Product data for adhesives and sealants used inside the weatherproofing system indicating VOC content of each product used.  Indicate VOC content in g/L calculated according to 40 CFR 59, Subpart D.</w:t>
      </w:r>
    </w:p>
    <w:p w:rsidR="00F558E8" w:rsidRDefault="00F558E8">
      <w:pPr>
        <w:pStyle w:val="PR2"/>
      </w:pPr>
      <w:r>
        <w:lastRenderedPageBreak/>
        <w:t>Credit EQ 4.2:  Product data for paints and coatings used inside the weatherproofing system indicating</w:t>
      </w:r>
      <w:r w:rsidR="001C027E">
        <w:t xml:space="preserve"> </w:t>
      </w:r>
      <w:r>
        <w:t>VOC content of each product used.  Indicate VOC content in g/L calculated according to 40 CFR 59, Subpart D.</w:t>
      </w:r>
    </w:p>
    <w:p w:rsidR="00F558E8" w:rsidRDefault="00F558E8">
      <w:pPr>
        <w:pStyle w:val="PR2"/>
      </w:pPr>
      <w:r>
        <w:t xml:space="preserve">Credit EQ 4.4:  Product data for products containing composite wood or </w:t>
      </w:r>
      <w:proofErr w:type="spellStart"/>
      <w:r>
        <w:t>agrifiber</w:t>
      </w:r>
      <w:proofErr w:type="spellEnd"/>
      <w:r>
        <w:t xml:space="preserve"> products or wood glues indicating that they do not contain urea-formaldehyde resin.</w:t>
      </w:r>
    </w:p>
    <w:permEnd w:id="2"/>
    <w:p w:rsidR="00F558E8" w:rsidRDefault="00F558E8">
      <w:pPr>
        <w:pStyle w:val="ART"/>
      </w:pPr>
      <w:r>
        <w:t>QUALITY ASSURANCE</w:t>
      </w:r>
    </w:p>
    <w:p w:rsidR="00F558E8" w:rsidRDefault="00F558E8">
      <w:pPr>
        <w:pStyle w:val="PR1"/>
      </w:pPr>
      <w:r>
        <w:t>LEED Coordinator:  Engage an experienced LEED-Accredited Professional to coordinate LEED requirements.  LEED coordinator may also serve as waste management coordinator.</w:t>
      </w:r>
    </w:p>
    <w:p w:rsidR="00F558E8" w:rsidRDefault="00F558E8">
      <w:pPr>
        <w:pStyle w:val="PRT"/>
      </w:pPr>
      <w:r>
        <w:t>PRODUCTS</w:t>
      </w:r>
    </w:p>
    <w:p w:rsidR="00F558E8" w:rsidRDefault="00F558E8">
      <w:pPr>
        <w:pStyle w:val="ART"/>
      </w:pPr>
      <w:r>
        <w:t>SALVAGED AND REFURBISHED MATERIALS</w:t>
      </w:r>
    </w:p>
    <w:p w:rsidR="00F558E8" w:rsidRDefault="00F558E8">
      <w:pPr>
        <w:pStyle w:val="PR1"/>
      </w:pPr>
      <w:permStart w:id="3" w:edGrp="everyone"/>
      <w:r>
        <w:t>Credit MR 3.1</w:t>
      </w:r>
      <w:r w:rsidR="001C027E">
        <w:t xml:space="preserve"> or </w:t>
      </w:r>
      <w:r w:rsidRPr="001C027E">
        <w:t>Credit MR 3.2</w:t>
      </w:r>
      <w:r>
        <w:t xml:space="preserve">:  Provide salvaged or refurbished materials for a minimum of </w:t>
      </w:r>
      <w:r w:rsidRPr="00EE3F77">
        <w:t>10</w:t>
      </w:r>
      <w:r>
        <w:t xml:space="preserve"> percent of building materials (by cost).</w:t>
      </w:r>
    </w:p>
    <w:permEnd w:id="3"/>
    <w:p w:rsidR="00F558E8" w:rsidRDefault="00F558E8">
      <w:pPr>
        <w:pStyle w:val="ART"/>
      </w:pPr>
      <w:r>
        <w:t>RECYCLED CONTENT OF MATERIALS</w:t>
      </w:r>
    </w:p>
    <w:p w:rsidR="00F558E8" w:rsidRDefault="00F558E8">
      <w:pPr>
        <w:pStyle w:val="PR1"/>
      </w:pPr>
      <w:permStart w:id="4" w:edGrp="everyone"/>
      <w:r>
        <w:t>Credit MR 4.1</w:t>
      </w:r>
      <w:r w:rsidR="00EE3F77">
        <w:t xml:space="preserve"> or </w:t>
      </w:r>
      <w:r w:rsidRPr="00EE3F77">
        <w:t>Credit MR 4.2</w:t>
      </w:r>
      <w:r>
        <w:t xml:space="preserve">:  Provide building materials with recycled content such that post-consumer recycled content plus one-half of pre-consumer recycled content constitutes a minimum of </w:t>
      </w:r>
      <w:r w:rsidRPr="00EE3F77">
        <w:t>20</w:t>
      </w:r>
      <w:r>
        <w:t xml:space="preserve"> percent of cost of materials used for Project.</w:t>
      </w:r>
    </w:p>
    <w:p w:rsidR="00F558E8" w:rsidRDefault="00F558E8">
      <w:pPr>
        <w:pStyle w:val="PR2"/>
        <w:spacing w:before="240"/>
      </w:pPr>
      <w:r>
        <w:t>Cost of post-consumer recycled content of an item shall be determined by dividing weight of post-consumer recycled content in the item by total weight of the item and multiplying by cost of the item.</w:t>
      </w:r>
    </w:p>
    <w:p w:rsidR="00F558E8" w:rsidRDefault="00F558E8">
      <w:pPr>
        <w:pStyle w:val="PR2"/>
      </w:pPr>
      <w:r>
        <w:t>Cost of pre-consumer recycled content of an item shall be determined by dividing weight of pre-consumer recycled content in the item by total weight of the item and multiplying by cost of the item.</w:t>
      </w:r>
    </w:p>
    <w:p w:rsidR="00F558E8" w:rsidRDefault="00F558E8">
      <w:pPr>
        <w:pStyle w:val="PR2"/>
      </w:pPr>
      <w:r>
        <w:t xml:space="preserve">Do not include </w:t>
      </w:r>
      <w:r w:rsidRPr="00EE3F77">
        <w:t>furniture, plumbing</w:t>
      </w:r>
      <w:r>
        <w:rPr>
          <w:b/>
        </w:rPr>
        <w:t>,</w:t>
      </w:r>
      <w:r>
        <w:t xml:space="preserve"> mechanical and electrical components, and specialty items such as elevators and equipment in the calculation.</w:t>
      </w:r>
    </w:p>
    <w:permEnd w:id="4"/>
    <w:p w:rsidR="00F558E8" w:rsidRDefault="00F558E8">
      <w:pPr>
        <w:pStyle w:val="ART"/>
      </w:pPr>
      <w:r>
        <w:t>REGIONAL MATERIALS</w:t>
      </w:r>
    </w:p>
    <w:p w:rsidR="00F558E8" w:rsidRDefault="00F558E8">
      <w:pPr>
        <w:pStyle w:val="PR1"/>
      </w:pPr>
      <w:permStart w:id="5" w:edGrp="everyone"/>
      <w:r>
        <w:t>Credit MR 5.1</w:t>
      </w:r>
      <w:r w:rsidR="00EE3F77">
        <w:t xml:space="preserve"> or </w:t>
      </w:r>
      <w:r w:rsidRPr="00EE3F77">
        <w:t>Credit MR 5.2</w:t>
      </w:r>
      <w:r>
        <w:t xml:space="preserve">:  Provide a minimum of </w:t>
      </w:r>
      <w:r w:rsidRPr="00EE3F77">
        <w:t>20</w:t>
      </w:r>
      <w:r>
        <w:t xml:space="preserve"> percent of building materials (by cost) that are regional materials.</w:t>
      </w:r>
    </w:p>
    <w:permEnd w:id="5"/>
    <w:p w:rsidR="00F558E8" w:rsidRDefault="00F558E8">
      <w:pPr>
        <w:pStyle w:val="ART"/>
      </w:pPr>
      <w:r>
        <w:t>CERTIFIED WOOD</w:t>
      </w:r>
    </w:p>
    <w:p w:rsidR="00F558E8" w:rsidRDefault="00F558E8">
      <w:pPr>
        <w:pStyle w:val="PR1"/>
      </w:pPr>
      <w:permStart w:id="6" w:edGrp="everyone"/>
      <w:r>
        <w:t>Credit</w:t>
      </w:r>
      <w:r w:rsidR="00EE3F77">
        <w:t> MR</w:t>
      </w:r>
      <w:r w:rsidRPr="00EE3F77">
        <w:t> 7</w:t>
      </w:r>
      <w:r>
        <w:t>:  Provide a minimum of 50 percent (by cost) of wood-based materials that are produced from wood obtained from forests certified by an FSC-accredited certification body to comply with FSC STD-01-001, "FSC Principles and Criteria for Forest Stewardship."</w:t>
      </w:r>
    </w:p>
    <w:p w:rsidR="00F558E8" w:rsidRDefault="00F558E8">
      <w:pPr>
        <w:pStyle w:val="PR2"/>
        <w:spacing w:before="240"/>
      </w:pPr>
      <w:r>
        <w:lastRenderedPageBreak/>
        <w:t xml:space="preserve">Wood-based materials </w:t>
      </w:r>
      <w:r w:rsidR="00512739">
        <w:t xml:space="preserve">identified in Individual Specification Sections </w:t>
      </w:r>
      <w:r>
        <w:t>include, but are not limited to, materials when made from wood, engineered wood products, or wood-based panel products</w:t>
      </w:r>
      <w:r w:rsidR="00512739">
        <w:t>.</w:t>
      </w:r>
    </w:p>
    <w:permEnd w:id="6"/>
    <w:p w:rsidR="00F558E8" w:rsidRDefault="00F558E8">
      <w:pPr>
        <w:pStyle w:val="ART"/>
      </w:pPr>
      <w:r>
        <w:t>LOW-EMITTING MATERIALS</w:t>
      </w:r>
    </w:p>
    <w:p w:rsidR="00F558E8" w:rsidRDefault="00F558E8">
      <w:pPr>
        <w:pStyle w:val="PR1"/>
      </w:pPr>
      <w:permStart w:id="7" w:edGrp="everyone"/>
      <w:r>
        <w:t xml:space="preserve">Credit EQ 4.1:  </w:t>
      </w:r>
      <w:r w:rsidR="00D6022F">
        <w:t>F</w:t>
      </w:r>
      <w:r>
        <w:t xml:space="preserve">or applications that are inside the </w:t>
      </w:r>
      <w:r w:rsidR="00BF5456">
        <w:t>building envelope</w:t>
      </w:r>
      <w:r>
        <w:t xml:space="preserve">, use adhesives and sealants </w:t>
      </w:r>
      <w:r w:rsidR="00D6022F">
        <w:t xml:space="preserve">identified in Individual Specification Sections </w:t>
      </w:r>
      <w:r>
        <w:t>that comply with limits for VOC content when calculated according to 40 CFR 59, Subpart D</w:t>
      </w:r>
      <w:r w:rsidR="00D6022F">
        <w:t>.</w:t>
      </w:r>
    </w:p>
    <w:p w:rsidR="00F558E8" w:rsidRDefault="00F558E8">
      <w:pPr>
        <w:pStyle w:val="PR1"/>
      </w:pPr>
      <w:r>
        <w:t xml:space="preserve">Credit EQ 4.2:  For applications that are inside the </w:t>
      </w:r>
      <w:r w:rsidR="00BF5456">
        <w:t>building envelope</w:t>
      </w:r>
      <w:r>
        <w:t xml:space="preserve"> use paints and coatings </w:t>
      </w:r>
      <w:r w:rsidR="00D6022F">
        <w:t xml:space="preserve">identified in Individual Specification Sections </w:t>
      </w:r>
      <w:r>
        <w:t>that comply with limits for VOC content when calculated according to 40 CFR 59, Subpart D</w:t>
      </w:r>
      <w:r w:rsidR="00D6022F">
        <w:t>.</w:t>
      </w:r>
    </w:p>
    <w:p w:rsidR="00F558E8" w:rsidRDefault="00F558E8">
      <w:pPr>
        <w:pStyle w:val="PR1"/>
      </w:pPr>
      <w:r>
        <w:t xml:space="preserve">Credit EQ 4.4:  Do not use composite wood or </w:t>
      </w:r>
      <w:proofErr w:type="spellStart"/>
      <w:r>
        <w:t>agrifiber</w:t>
      </w:r>
      <w:proofErr w:type="spellEnd"/>
      <w:r>
        <w:t xml:space="preserve"> products or adhesives that contain </w:t>
      </w:r>
      <w:proofErr w:type="spellStart"/>
      <w:r>
        <w:t>ureaformaldehyde</w:t>
      </w:r>
      <w:proofErr w:type="spellEnd"/>
      <w:r>
        <w:t xml:space="preserve"> resin.</w:t>
      </w:r>
    </w:p>
    <w:permEnd w:id="7"/>
    <w:p w:rsidR="00F558E8" w:rsidRDefault="00F558E8">
      <w:pPr>
        <w:pStyle w:val="PRT"/>
      </w:pPr>
      <w:r>
        <w:t>EXECUTION</w:t>
      </w:r>
    </w:p>
    <w:p w:rsidR="00F558E8" w:rsidRPr="009816C9" w:rsidRDefault="00F558E8">
      <w:pPr>
        <w:pStyle w:val="ART"/>
      </w:pPr>
      <w:permStart w:id="8" w:edGrp="everyone"/>
      <w:r w:rsidRPr="009816C9">
        <w:t>REFRIGERANT AND CLEAN-AGENT FIRE-EXTINGUISHING-AGENT REMOVAL</w:t>
      </w:r>
    </w:p>
    <w:p w:rsidR="00F558E8" w:rsidRDefault="00F558E8">
      <w:pPr>
        <w:pStyle w:val="PR1"/>
      </w:pPr>
      <w:r>
        <w:t xml:space="preserve">Prerequisite EA 3:  </w:t>
      </w:r>
      <w:r w:rsidR="00C87C7E">
        <w:t xml:space="preserve">When specified as </w:t>
      </w:r>
      <w:r w:rsidR="009816C9">
        <w:t xml:space="preserve">part of the </w:t>
      </w:r>
      <w:r w:rsidR="00C87C7E">
        <w:t xml:space="preserve">Work </w:t>
      </w:r>
      <w:r w:rsidR="0012390A">
        <w:t xml:space="preserve">of </w:t>
      </w:r>
      <w:r w:rsidR="00C87C7E">
        <w:t>the Contract Documents, r</w:t>
      </w:r>
      <w:r>
        <w:t>emove CFC-based refrigerants from existing HVAC&amp;R equipment indicated to remain and replace with refrigerants that are not CFC based.  Replace or adjust existing equipment to accommodate new refrigerant as described in Division 23 Sections.</w:t>
      </w:r>
    </w:p>
    <w:p w:rsidR="00F558E8" w:rsidRDefault="00F558E8">
      <w:pPr>
        <w:pStyle w:val="PR1"/>
      </w:pPr>
      <w:r>
        <w:t xml:space="preserve">Credit EA 4:  </w:t>
      </w:r>
      <w:r w:rsidR="009816C9">
        <w:t xml:space="preserve">When specified as part of the Work </w:t>
      </w:r>
      <w:r w:rsidR="0012390A">
        <w:t xml:space="preserve">of </w:t>
      </w:r>
      <w:r w:rsidR="009816C9">
        <w:t>the Contract Documents, r</w:t>
      </w:r>
      <w:r>
        <w:t>emove clean-agent fire-extinguishing agents that contain HCFCs or halons and replace with agent that does not contain HCFCs or halons. See Division 21 Section "Clean-Agent Fire Extinguishing Systems" for additional requirements.</w:t>
      </w:r>
    </w:p>
    <w:permEnd w:id="8"/>
    <w:p w:rsidR="00F558E8" w:rsidRDefault="00F558E8">
      <w:pPr>
        <w:pStyle w:val="ART"/>
      </w:pPr>
      <w:r>
        <w:t>CONSTRUCTION WASTE MANAGEMENT</w:t>
      </w:r>
    </w:p>
    <w:p w:rsidR="00F558E8" w:rsidRDefault="00F558E8">
      <w:pPr>
        <w:pStyle w:val="PR1"/>
      </w:pPr>
      <w:permStart w:id="9" w:edGrp="everyone"/>
      <w:r>
        <w:t>Credit MR 2.1</w:t>
      </w:r>
      <w:r w:rsidR="00C87C7E">
        <w:t xml:space="preserve"> or </w:t>
      </w:r>
      <w:r w:rsidRPr="00C87C7E">
        <w:t>Credit MR 2.2</w:t>
      </w:r>
      <w:r>
        <w:t>:  Comply with Construction Waste Management and Disposal</w:t>
      </w:r>
      <w:r w:rsidR="00C87C7E">
        <w:t xml:space="preserve"> Plan.</w:t>
      </w:r>
    </w:p>
    <w:permEnd w:id="9"/>
    <w:p w:rsidR="00F558E8" w:rsidRDefault="00F558E8">
      <w:pPr>
        <w:pStyle w:val="ART"/>
      </w:pPr>
      <w:r>
        <w:t>CONSTRUCTION INDOOR-AIR-QUALITY MANAGEMENT</w:t>
      </w:r>
    </w:p>
    <w:p w:rsidR="00F558E8" w:rsidRDefault="00F558E8">
      <w:pPr>
        <w:pStyle w:val="PR1"/>
      </w:pPr>
      <w:permStart w:id="10" w:edGrp="everyone"/>
      <w:r>
        <w:t>Credit </w:t>
      </w:r>
      <w:r w:rsidRPr="00C87C7E">
        <w:t>EQ 3.1</w:t>
      </w:r>
      <w:r>
        <w:t>:  Comply with SMACNA's "SMACNA IAQ Guideline for Occupied Buildings under Construction."</w:t>
      </w:r>
    </w:p>
    <w:p w:rsidR="00F558E8" w:rsidRDefault="00F558E8">
      <w:pPr>
        <w:pStyle w:val="PR2"/>
        <w:spacing w:before="240"/>
      </w:pPr>
      <w:r>
        <w:t>If Owner authorizes use of permanent heating, cooling, and ventilating systems during construction period as specified in Section</w:t>
      </w:r>
      <w:r w:rsidR="00594735">
        <w:t xml:space="preserve"> 015000 - </w:t>
      </w:r>
      <w:r>
        <w:t xml:space="preserve">Temporary Facilities and Controls, </w:t>
      </w:r>
      <w:r w:rsidR="00CE77CF">
        <w:t>installs</w:t>
      </w:r>
      <w:r>
        <w:t xml:space="preserve"> filter media having a MERV 8 according to ASHRAE 52.2 at each return-air inlet for the air-handling system used during construction.</w:t>
      </w:r>
    </w:p>
    <w:p w:rsidR="00F558E8" w:rsidRDefault="00F558E8">
      <w:pPr>
        <w:pStyle w:val="PR2"/>
      </w:pPr>
      <w:r>
        <w:t xml:space="preserve">Replace all air filters immediately prior to </w:t>
      </w:r>
      <w:r w:rsidR="00594735">
        <w:t>Substantial Completion</w:t>
      </w:r>
      <w:r w:rsidR="002869A4">
        <w:t xml:space="preserve"> with the specified permanent filters</w:t>
      </w:r>
      <w:r>
        <w:t>.</w:t>
      </w:r>
    </w:p>
    <w:p w:rsidR="00F558E8" w:rsidRDefault="00F558E8">
      <w:pPr>
        <w:pStyle w:val="PR1"/>
      </w:pPr>
      <w:r>
        <w:lastRenderedPageBreak/>
        <w:t>Credit EQ 3.2:</w:t>
      </w:r>
    </w:p>
    <w:p w:rsidR="00F558E8" w:rsidRDefault="00F558E8">
      <w:pPr>
        <w:pStyle w:val="PR2"/>
        <w:spacing w:before="240"/>
      </w:pPr>
      <w:r>
        <w:t>Air-Quality Testing:</w:t>
      </w:r>
    </w:p>
    <w:p w:rsidR="00F558E8" w:rsidRDefault="00F558E8">
      <w:pPr>
        <w:pStyle w:val="PR3"/>
        <w:spacing w:before="240"/>
      </w:pPr>
      <w:r>
        <w:t>Conduct baseline indoor-air-quality testing, after construction ends and prior to occupancy, using testing protocols consistent with the EPA's "Compendium of Methods for the Determination of Air Pollutants in Indoor Air," and as additionally detailed in the USGBC's "</w:t>
      </w:r>
      <w:r w:rsidRPr="00CE77CF">
        <w:t>LEED-</w:t>
      </w:r>
      <w:r w:rsidR="002869A4">
        <w:t>D+C</w:t>
      </w:r>
      <w:r>
        <w:t>:  Reference Guide."</w:t>
      </w:r>
    </w:p>
    <w:p w:rsidR="00F558E8" w:rsidRDefault="00F558E8">
      <w:pPr>
        <w:pStyle w:val="PR3"/>
      </w:pPr>
      <w:r>
        <w:t>Demonstrate that the contaminant maximum concentrations listed below are not exceeded:</w:t>
      </w:r>
    </w:p>
    <w:p w:rsidR="00F558E8" w:rsidRDefault="00F558E8">
      <w:pPr>
        <w:pStyle w:val="PR4"/>
        <w:spacing w:before="240"/>
      </w:pPr>
      <w:r>
        <w:t>Formaldehyde:  50 ppb.</w:t>
      </w:r>
    </w:p>
    <w:p w:rsidR="00F558E8" w:rsidRDefault="00F558E8">
      <w:pPr>
        <w:pStyle w:val="PR4"/>
      </w:pPr>
      <w:r>
        <w:t>Particulates (PM10):  50 micrograms/cu. m.</w:t>
      </w:r>
    </w:p>
    <w:p w:rsidR="00F558E8" w:rsidRDefault="00F558E8">
      <w:pPr>
        <w:pStyle w:val="PR4"/>
      </w:pPr>
      <w:r>
        <w:t>Total Volatile Organic Compounds (TVOC):  500 micrograms/cu. m.</w:t>
      </w:r>
    </w:p>
    <w:p w:rsidR="00F558E8" w:rsidRDefault="00F558E8">
      <w:pPr>
        <w:pStyle w:val="PR4"/>
      </w:pPr>
      <w:r>
        <w:t>4-Phenylcyclohexene (4-PH):  6.5 micrograms/cu. m.</w:t>
      </w:r>
    </w:p>
    <w:p w:rsidR="00F558E8" w:rsidRDefault="00F558E8">
      <w:pPr>
        <w:pStyle w:val="PR4"/>
      </w:pPr>
      <w:r>
        <w:t xml:space="preserve">Carbon Monoxide:  9 </w:t>
      </w:r>
      <w:proofErr w:type="spellStart"/>
      <w:r>
        <w:t>ppm</w:t>
      </w:r>
      <w:proofErr w:type="spellEnd"/>
      <w:r>
        <w:t xml:space="preserve"> and no greater than 2 </w:t>
      </w:r>
      <w:proofErr w:type="spellStart"/>
      <w:r>
        <w:t>ppm</w:t>
      </w:r>
      <w:proofErr w:type="spellEnd"/>
      <w:r>
        <w:t xml:space="preserve"> above outdoor levels.</w:t>
      </w:r>
    </w:p>
    <w:p w:rsidR="00F558E8" w:rsidRDefault="00F558E8" w:rsidP="00CE77CF">
      <w:pPr>
        <w:pStyle w:val="PR3"/>
        <w:spacing w:before="240"/>
      </w:pPr>
      <w:r>
        <w:t>Air-sample testing shall be conducted as follows:</w:t>
      </w:r>
    </w:p>
    <w:p w:rsidR="00F558E8" w:rsidRDefault="00F558E8">
      <w:pPr>
        <w:pStyle w:val="PR4"/>
        <w:spacing w:before="240"/>
      </w:pPr>
      <w:r>
        <w:t xml:space="preserve">All measurements shall be conducted prior to occupancy but during normal occupied </w:t>
      </w:r>
      <w:r w:rsidR="00CE77CF">
        <w:t>hours</w:t>
      </w:r>
      <w:r>
        <w:t xml:space="preserve"> and with building ventilation system starting at the normal daily start time and operated at the minimum outside air flow rate for the occupied mode throughout the duration of the air testing.</w:t>
      </w:r>
    </w:p>
    <w:p w:rsidR="00F558E8" w:rsidRDefault="00F558E8">
      <w:pPr>
        <w:pStyle w:val="PR4"/>
      </w:pPr>
      <w:r>
        <w:t>Building shall have all interior finishes installed including, but not limited to, millwork, doors, paint, carpet, and acoustic tiles.</w:t>
      </w:r>
    </w:p>
    <w:p w:rsidR="00F558E8" w:rsidRDefault="00F558E8">
      <w:pPr>
        <w:pStyle w:val="PR4"/>
      </w:pPr>
      <w:r>
        <w:t xml:space="preserve">Number of sampling locations will vary depending on the size of building and number of ventilation systems.  For each portion of building served by a separate ventilation system, the number of sampling points shall not be less than one per </w:t>
      </w:r>
      <w:r w:rsidRPr="00CE77CF">
        <w:rPr>
          <w:rStyle w:val="IP"/>
          <w:color w:val="auto"/>
        </w:rPr>
        <w:t>25,000 sq. ft</w:t>
      </w:r>
      <w:r>
        <w:rPr>
          <w:rStyle w:val="IP"/>
        </w:rPr>
        <w:t>.</w:t>
      </w:r>
      <w:r>
        <w:t xml:space="preserve"> or for each contiguous floor area, whichever is larger, and shall include areas with the least ventilation and greatest presumed source strength.</w:t>
      </w:r>
    </w:p>
    <w:p w:rsidR="00F558E8" w:rsidRDefault="00F558E8">
      <w:pPr>
        <w:pStyle w:val="PR4"/>
      </w:pPr>
      <w:r>
        <w:t xml:space="preserve">Air samples shall be collected between </w:t>
      </w:r>
      <w:r w:rsidRPr="00CE77CF">
        <w:rPr>
          <w:rStyle w:val="IP"/>
          <w:color w:val="auto"/>
        </w:rPr>
        <w:t>3 and</w:t>
      </w:r>
      <w:r w:rsidRPr="00CE77CF">
        <w:t xml:space="preserve"> </w:t>
      </w:r>
      <w:r w:rsidRPr="00CE77CF">
        <w:rPr>
          <w:rStyle w:val="IP"/>
          <w:color w:val="auto"/>
        </w:rPr>
        <w:t>6 feet</w:t>
      </w:r>
      <w:r>
        <w:t xml:space="preserve"> from the floor to represent the breathing zone of occupants, and over a minimum four-hour period.</w:t>
      </w:r>
    </w:p>
    <w:permEnd w:id="10"/>
    <w:p w:rsidR="00F558E8" w:rsidRDefault="00F558E8">
      <w:pPr>
        <w:pStyle w:val="EOS"/>
      </w:pPr>
      <w:r>
        <w:t>END OF SECTION 018113</w:t>
      </w:r>
    </w:p>
    <w:sectPr w:rsidR="00F558E8" w:rsidSect="00B15F9B">
      <w:headerReference w:type="default" r:id="rId7"/>
      <w:footerReference w:type="default" r:id="rId8"/>
      <w:footnotePr>
        <w:numRestart w:val="eachSect"/>
      </w:footnotePr>
      <w:endnotePr>
        <w:numFmt w:val="decimal"/>
      </w:endnotePr>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F7F" w:rsidRDefault="00B74F7F">
      <w:r>
        <w:separator/>
      </w:r>
    </w:p>
  </w:endnote>
  <w:endnote w:type="continuationSeparator" w:id="0">
    <w:p w:rsidR="00B74F7F" w:rsidRDefault="00B74F7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65" w:type="dxa"/>
        <w:right w:w="65" w:type="dxa"/>
      </w:tblCellMar>
      <w:tblLook w:val="0000"/>
    </w:tblPr>
    <w:tblGrid>
      <w:gridCol w:w="7632"/>
      <w:gridCol w:w="1872"/>
    </w:tblGrid>
    <w:tr w:rsidR="00512739">
      <w:tc>
        <w:tcPr>
          <w:tcW w:w="7632" w:type="dxa"/>
        </w:tcPr>
        <w:p w:rsidR="00512739" w:rsidRDefault="00512739">
          <w:pPr>
            <w:pStyle w:val="FTR"/>
            <w:rPr>
              <w:rStyle w:val="NAM"/>
            </w:rPr>
          </w:pPr>
          <w:r>
            <w:rPr>
              <w:rStyle w:val="NAM"/>
            </w:rPr>
            <w:t>SUSTAINABLE DESIGN REQUIREMENTS</w:t>
          </w:r>
        </w:p>
        <w:p w:rsidR="00512739" w:rsidRDefault="00361C7E" w:rsidP="00BB2763">
          <w:pPr>
            <w:pStyle w:val="FTR"/>
          </w:pPr>
          <w:r>
            <w:t>December</w:t>
          </w:r>
          <w:r w:rsidR="001C2139">
            <w:t xml:space="preserve"> ‘10</w:t>
          </w:r>
        </w:p>
      </w:tc>
      <w:tc>
        <w:tcPr>
          <w:tcW w:w="1872" w:type="dxa"/>
        </w:tcPr>
        <w:p w:rsidR="00512739" w:rsidRDefault="00512739">
          <w:pPr>
            <w:pStyle w:val="RJUST"/>
          </w:pPr>
          <w:r>
            <w:rPr>
              <w:rStyle w:val="NUM"/>
            </w:rPr>
            <w:t>018113</w:t>
          </w:r>
          <w:r>
            <w:t xml:space="preserve"> - </w:t>
          </w:r>
          <w:fldSimple w:instr=" PAGE ">
            <w:r w:rsidR="002A2311">
              <w:rPr>
                <w:noProof/>
              </w:rPr>
              <w:t>1</w:t>
            </w:r>
          </w:fldSimple>
        </w:p>
      </w:tc>
    </w:tr>
  </w:tbl>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F7F" w:rsidRDefault="00B74F7F">
      <w:r>
        <w:separator/>
      </w:r>
    </w:p>
  </w:footnote>
  <w:footnote w:type="continuationSeparator" w:id="0">
    <w:p w:rsidR="00B74F7F" w:rsidRDefault="00B74F7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2739" w:rsidRDefault="00512739" w:rsidP="007D5562">
    <w:pPr>
      <w:pStyle w:val="HDR"/>
      <w:jc w:val="center"/>
      <w:rPr>
        <w:rStyle w:val="CPR"/>
      </w:rPr>
    </w:pPr>
    <w:r>
      <w:rPr>
        <w:rStyle w:val="CPR"/>
      </w:rPr>
      <w:t>GENERAL REQUIREMENTS for CONSTRUCTION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ocumentProtection w:edit="readOnly" w:enforcement="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1266"/>
  </w:hdrShapeDefaults>
  <w:footnotePr>
    <w:numRestart w:val="eachSect"/>
    <w:footnote w:id="-1"/>
    <w:footnote w:id="0"/>
  </w:footnotePr>
  <w:endnotePr>
    <w:pos w:val="sectEnd"/>
    <w:numFmt w:val="decimal"/>
    <w:endnote w:id="-1"/>
    <w:endnote w:id="0"/>
  </w:endnotePr>
  <w:compat/>
  <w:rsids>
    <w:rsidRoot w:val="00F558E8"/>
    <w:rsid w:val="000738A2"/>
    <w:rsid w:val="00121BDF"/>
    <w:rsid w:val="0012390A"/>
    <w:rsid w:val="00194788"/>
    <w:rsid w:val="001B2C0F"/>
    <w:rsid w:val="001C027E"/>
    <w:rsid w:val="001C2139"/>
    <w:rsid w:val="002105F3"/>
    <w:rsid w:val="002223CA"/>
    <w:rsid w:val="00263FB4"/>
    <w:rsid w:val="002869A4"/>
    <w:rsid w:val="002A2311"/>
    <w:rsid w:val="002A6949"/>
    <w:rsid w:val="0030210A"/>
    <w:rsid w:val="00322B37"/>
    <w:rsid w:val="00327146"/>
    <w:rsid w:val="00361C7E"/>
    <w:rsid w:val="00365B64"/>
    <w:rsid w:val="00391EFE"/>
    <w:rsid w:val="004155C6"/>
    <w:rsid w:val="004923C5"/>
    <w:rsid w:val="00512739"/>
    <w:rsid w:val="005431BF"/>
    <w:rsid w:val="005449D5"/>
    <w:rsid w:val="00594735"/>
    <w:rsid w:val="005A0D0E"/>
    <w:rsid w:val="005B3366"/>
    <w:rsid w:val="005E7712"/>
    <w:rsid w:val="006B5475"/>
    <w:rsid w:val="006C49EB"/>
    <w:rsid w:val="00705328"/>
    <w:rsid w:val="007272EF"/>
    <w:rsid w:val="007B1C16"/>
    <w:rsid w:val="007D5562"/>
    <w:rsid w:val="007E2080"/>
    <w:rsid w:val="007F1D91"/>
    <w:rsid w:val="00827F43"/>
    <w:rsid w:val="009264B8"/>
    <w:rsid w:val="00931A1F"/>
    <w:rsid w:val="009816C9"/>
    <w:rsid w:val="009A1DD4"/>
    <w:rsid w:val="009D6030"/>
    <w:rsid w:val="009D70F7"/>
    <w:rsid w:val="00A61A43"/>
    <w:rsid w:val="00A75006"/>
    <w:rsid w:val="00AA46BD"/>
    <w:rsid w:val="00B15F9B"/>
    <w:rsid w:val="00B74F7F"/>
    <w:rsid w:val="00BB2763"/>
    <w:rsid w:val="00BF1646"/>
    <w:rsid w:val="00BF5456"/>
    <w:rsid w:val="00C5731E"/>
    <w:rsid w:val="00C75D11"/>
    <w:rsid w:val="00C845B0"/>
    <w:rsid w:val="00C87C7E"/>
    <w:rsid w:val="00CE3414"/>
    <w:rsid w:val="00CE77CF"/>
    <w:rsid w:val="00D10D2D"/>
    <w:rsid w:val="00D177CC"/>
    <w:rsid w:val="00D6022F"/>
    <w:rsid w:val="00D77FE1"/>
    <w:rsid w:val="00D9772C"/>
    <w:rsid w:val="00DA59FD"/>
    <w:rsid w:val="00DA7BE1"/>
    <w:rsid w:val="00DB2EEA"/>
    <w:rsid w:val="00ED64A0"/>
    <w:rsid w:val="00EE3F77"/>
    <w:rsid w:val="00EF71B0"/>
    <w:rsid w:val="00F25927"/>
    <w:rsid w:val="00F558E8"/>
    <w:rsid w:val="00F92C1A"/>
    <w:rsid w:val="00FD5F7B"/>
    <w:rsid w:val="00FE10A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15F9B"/>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B15F9B"/>
    <w:pPr>
      <w:tabs>
        <w:tab w:val="center" w:pos="4608"/>
        <w:tab w:val="right" w:pos="9360"/>
      </w:tabs>
      <w:suppressAutoHyphens/>
      <w:jc w:val="both"/>
    </w:pPr>
  </w:style>
  <w:style w:type="paragraph" w:customStyle="1" w:styleId="FTR">
    <w:name w:val="FTR"/>
    <w:basedOn w:val="Normal"/>
    <w:rsid w:val="00B15F9B"/>
    <w:pPr>
      <w:tabs>
        <w:tab w:val="right" w:pos="9360"/>
      </w:tabs>
      <w:suppressAutoHyphens/>
      <w:jc w:val="both"/>
    </w:pPr>
  </w:style>
  <w:style w:type="paragraph" w:customStyle="1" w:styleId="SCT">
    <w:name w:val="SCT"/>
    <w:basedOn w:val="Normal"/>
    <w:next w:val="PRT"/>
    <w:rsid w:val="00B15F9B"/>
    <w:pPr>
      <w:suppressAutoHyphens/>
      <w:spacing w:before="240"/>
      <w:jc w:val="both"/>
    </w:pPr>
  </w:style>
  <w:style w:type="paragraph" w:customStyle="1" w:styleId="PRT">
    <w:name w:val="PRT"/>
    <w:basedOn w:val="Normal"/>
    <w:next w:val="ART"/>
    <w:rsid w:val="00B15F9B"/>
    <w:pPr>
      <w:keepNext/>
      <w:numPr>
        <w:numId w:val="1"/>
      </w:numPr>
      <w:suppressAutoHyphens/>
      <w:spacing w:before="480"/>
      <w:jc w:val="both"/>
      <w:outlineLvl w:val="0"/>
    </w:pPr>
  </w:style>
  <w:style w:type="paragraph" w:customStyle="1" w:styleId="SUT">
    <w:name w:val="SUT"/>
    <w:basedOn w:val="Normal"/>
    <w:next w:val="PR1"/>
    <w:rsid w:val="00B15F9B"/>
    <w:pPr>
      <w:numPr>
        <w:ilvl w:val="1"/>
        <w:numId w:val="1"/>
      </w:numPr>
      <w:suppressAutoHyphens/>
      <w:spacing w:before="240"/>
      <w:jc w:val="both"/>
      <w:outlineLvl w:val="0"/>
    </w:pPr>
  </w:style>
  <w:style w:type="paragraph" w:customStyle="1" w:styleId="DST">
    <w:name w:val="DST"/>
    <w:basedOn w:val="Normal"/>
    <w:next w:val="PR1"/>
    <w:rsid w:val="00B15F9B"/>
    <w:pPr>
      <w:numPr>
        <w:ilvl w:val="2"/>
        <w:numId w:val="1"/>
      </w:numPr>
      <w:suppressAutoHyphens/>
      <w:spacing w:before="240"/>
      <w:jc w:val="both"/>
      <w:outlineLvl w:val="0"/>
    </w:pPr>
  </w:style>
  <w:style w:type="paragraph" w:customStyle="1" w:styleId="ART">
    <w:name w:val="ART"/>
    <w:basedOn w:val="Normal"/>
    <w:next w:val="PR1"/>
    <w:rsid w:val="00B15F9B"/>
    <w:pPr>
      <w:keepNext/>
      <w:numPr>
        <w:ilvl w:val="3"/>
        <w:numId w:val="1"/>
      </w:numPr>
      <w:suppressAutoHyphens/>
      <w:spacing w:before="480"/>
      <w:jc w:val="both"/>
      <w:outlineLvl w:val="1"/>
    </w:pPr>
  </w:style>
  <w:style w:type="paragraph" w:customStyle="1" w:styleId="PR1">
    <w:name w:val="PR1"/>
    <w:basedOn w:val="Normal"/>
    <w:rsid w:val="00B15F9B"/>
    <w:pPr>
      <w:numPr>
        <w:ilvl w:val="4"/>
        <w:numId w:val="1"/>
      </w:numPr>
      <w:suppressAutoHyphens/>
      <w:spacing w:before="240"/>
      <w:jc w:val="both"/>
      <w:outlineLvl w:val="2"/>
    </w:pPr>
  </w:style>
  <w:style w:type="paragraph" w:customStyle="1" w:styleId="PR2">
    <w:name w:val="PR2"/>
    <w:basedOn w:val="Normal"/>
    <w:rsid w:val="00B15F9B"/>
    <w:pPr>
      <w:numPr>
        <w:ilvl w:val="5"/>
        <w:numId w:val="1"/>
      </w:numPr>
      <w:suppressAutoHyphens/>
      <w:jc w:val="both"/>
      <w:outlineLvl w:val="3"/>
    </w:pPr>
  </w:style>
  <w:style w:type="paragraph" w:customStyle="1" w:styleId="PR3">
    <w:name w:val="PR3"/>
    <w:basedOn w:val="Normal"/>
    <w:rsid w:val="00B15F9B"/>
    <w:pPr>
      <w:numPr>
        <w:ilvl w:val="6"/>
        <w:numId w:val="1"/>
      </w:numPr>
      <w:suppressAutoHyphens/>
      <w:jc w:val="both"/>
      <w:outlineLvl w:val="4"/>
    </w:pPr>
  </w:style>
  <w:style w:type="paragraph" w:customStyle="1" w:styleId="PR4">
    <w:name w:val="PR4"/>
    <w:basedOn w:val="Normal"/>
    <w:rsid w:val="00B15F9B"/>
    <w:pPr>
      <w:numPr>
        <w:ilvl w:val="7"/>
        <w:numId w:val="1"/>
      </w:numPr>
      <w:suppressAutoHyphens/>
      <w:jc w:val="both"/>
      <w:outlineLvl w:val="5"/>
    </w:pPr>
  </w:style>
  <w:style w:type="paragraph" w:customStyle="1" w:styleId="PR5">
    <w:name w:val="PR5"/>
    <w:basedOn w:val="Normal"/>
    <w:rsid w:val="00B15F9B"/>
    <w:pPr>
      <w:numPr>
        <w:ilvl w:val="8"/>
        <w:numId w:val="1"/>
      </w:numPr>
      <w:suppressAutoHyphens/>
      <w:jc w:val="both"/>
      <w:outlineLvl w:val="6"/>
    </w:pPr>
  </w:style>
  <w:style w:type="paragraph" w:customStyle="1" w:styleId="TB1">
    <w:name w:val="TB1"/>
    <w:basedOn w:val="Normal"/>
    <w:next w:val="PR1"/>
    <w:rsid w:val="00B15F9B"/>
    <w:pPr>
      <w:suppressAutoHyphens/>
      <w:spacing w:before="240"/>
      <w:ind w:left="288"/>
      <w:jc w:val="both"/>
    </w:pPr>
  </w:style>
  <w:style w:type="paragraph" w:customStyle="1" w:styleId="TB2">
    <w:name w:val="TB2"/>
    <w:basedOn w:val="Normal"/>
    <w:next w:val="PR2"/>
    <w:rsid w:val="00B15F9B"/>
    <w:pPr>
      <w:suppressAutoHyphens/>
      <w:spacing w:before="240"/>
      <w:ind w:left="864"/>
      <w:jc w:val="both"/>
    </w:pPr>
  </w:style>
  <w:style w:type="paragraph" w:customStyle="1" w:styleId="TB3">
    <w:name w:val="TB3"/>
    <w:basedOn w:val="Normal"/>
    <w:next w:val="PR3"/>
    <w:rsid w:val="00B15F9B"/>
    <w:pPr>
      <w:suppressAutoHyphens/>
      <w:spacing w:before="240"/>
      <w:ind w:left="1440"/>
      <w:jc w:val="both"/>
    </w:pPr>
  </w:style>
  <w:style w:type="paragraph" w:customStyle="1" w:styleId="TB4">
    <w:name w:val="TB4"/>
    <w:basedOn w:val="Normal"/>
    <w:next w:val="PR4"/>
    <w:rsid w:val="00B15F9B"/>
    <w:pPr>
      <w:suppressAutoHyphens/>
      <w:spacing w:before="240"/>
      <w:ind w:left="2016"/>
      <w:jc w:val="both"/>
    </w:pPr>
  </w:style>
  <w:style w:type="paragraph" w:customStyle="1" w:styleId="TB5">
    <w:name w:val="TB5"/>
    <w:basedOn w:val="Normal"/>
    <w:next w:val="PR5"/>
    <w:rsid w:val="00B15F9B"/>
    <w:pPr>
      <w:suppressAutoHyphens/>
      <w:spacing w:before="240"/>
      <w:ind w:left="2592"/>
      <w:jc w:val="both"/>
    </w:pPr>
  </w:style>
  <w:style w:type="paragraph" w:customStyle="1" w:styleId="TF1">
    <w:name w:val="TF1"/>
    <w:basedOn w:val="Normal"/>
    <w:next w:val="TB1"/>
    <w:rsid w:val="00B15F9B"/>
    <w:pPr>
      <w:suppressAutoHyphens/>
      <w:spacing w:before="240"/>
      <w:ind w:left="288"/>
      <w:jc w:val="both"/>
    </w:pPr>
  </w:style>
  <w:style w:type="paragraph" w:customStyle="1" w:styleId="TF2">
    <w:name w:val="TF2"/>
    <w:basedOn w:val="Normal"/>
    <w:next w:val="TB2"/>
    <w:rsid w:val="00B15F9B"/>
    <w:pPr>
      <w:suppressAutoHyphens/>
      <w:spacing w:before="240"/>
      <w:ind w:left="864"/>
      <w:jc w:val="both"/>
    </w:pPr>
  </w:style>
  <w:style w:type="paragraph" w:customStyle="1" w:styleId="TF3">
    <w:name w:val="TF3"/>
    <w:basedOn w:val="Normal"/>
    <w:next w:val="TB3"/>
    <w:rsid w:val="00B15F9B"/>
    <w:pPr>
      <w:suppressAutoHyphens/>
      <w:spacing w:before="240"/>
      <w:ind w:left="1440"/>
      <w:jc w:val="both"/>
    </w:pPr>
  </w:style>
  <w:style w:type="paragraph" w:customStyle="1" w:styleId="TF4">
    <w:name w:val="TF4"/>
    <w:basedOn w:val="Normal"/>
    <w:next w:val="TB4"/>
    <w:rsid w:val="00B15F9B"/>
    <w:pPr>
      <w:suppressAutoHyphens/>
      <w:spacing w:before="240"/>
      <w:ind w:left="2016"/>
      <w:jc w:val="both"/>
    </w:pPr>
  </w:style>
  <w:style w:type="paragraph" w:customStyle="1" w:styleId="TF5">
    <w:name w:val="TF5"/>
    <w:basedOn w:val="Normal"/>
    <w:next w:val="TB5"/>
    <w:rsid w:val="00B15F9B"/>
    <w:pPr>
      <w:suppressAutoHyphens/>
      <w:spacing w:before="240"/>
      <w:ind w:left="2592"/>
      <w:jc w:val="both"/>
    </w:pPr>
  </w:style>
  <w:style w:type="paragraph" w:customStyle="1" w:styleId="TCH">
    <w:name w:val="TCH"/>
    <w:basedOn w:val="Normal"/>
    <w:rsid w:val="00B15F9B"/>
    <w:pPr>
      <w:suppressAutoHyphens/>
    </w:pPr>
  </w:style>
  <w:style w:type="paragraph" w:customStyle="1" w:styleId="TCE">
    <w:name w:val="TCE"/>
    <w:basedOn w:val="Normal"/>
    <w:rsid w:val="00B15F9B"/>
    <w:pPr>
      <w:suppressAutoHyphens/>
      <w:ind w:left="144" w:hanging="144"/>
    </w:pPr>
  </w:style>
  <w:style w:type="paragraph" w:customStyle="1" w:styleId="EOS">
    <w:name w:val="EOS"/>
    <w:basedOn w:val="Normal"/>
    <w:rsid w:val="00B15F9B"/>
    <w:pPr>
      <w:suppressAutoHyphens/>
      <w:spacing w:before="480"/>
      <w:jc w:val="both"/>
    </w:pPr>
  </w:style>
  <w:style w:type="paragraph" w:customStyle="1" w:styleId="ANT">
    <w:name w:val="ANT"/>
    <w:basedOn w:val="Normal"/>
    <w:rsid w:val="00B15F9B"/>
    <w:pPr>
      <w:suppressAutoHyphens/>
      <w:spacing w:before="240"/>
      <w:jc w:val="both"/>
    </w:pPr>
    <w:rPr>
      <w:vanish/>
      <w:color w:val="800080"/>
      <w:u w:val="single"/>
    </w:rPr>
  </w:style>
  <w:style w:type="paragraph" w:customStyle="1" w:styleId="CMT">
    <w:name w:val="CMT"/>
    <w:basedOn w:val="Normal"/>
    <w:rsid w:val="00B15F9B"/>
    <w:pPr>
      <w:suppressAutoHyphens/>
      <w:spacing w:before="240"/>
      <w:jc w:val="both"/>
    </w:pPr>
    <w:rPr>
      <w:vanish/>
      <w:color w:val="0000FF"/>
    </w:rPr>
  </w:style>
  <w:style w:type="character" w:customStyle="1" w:styleId="CPR">
    <w:name w:val="CPR"/>
    <w:basedOn w:val="DefaultParagraphFont"/>
    <w:rsid w:val="00B15F9B"/>
  </w:style>
  <w:style w:type="character" w:customStyle="1" w:styleId="SPN">
    <w:name w:val="SPN"/>
    <w:basedOn w:val="DefaultParagraphFont"/>
    <w:rsid w:val="00B15F9B"/>
  </w:style>
  <w:style w:type="character" w:customStyle="1" w:styleId="SPD">
    <w:name w:val="SPD"/>
    <w:basedOn w:val="DefaultParagraphFont"/>
    <w:rsid w:val="00B15F9B"/>
  </w:style>
  <w:style w:type="character" w:customStyle="1" w:styleId="NUM">
    <w:name w:val="NUM"/>
    <w:basedOn w:val="DefaultParagraphFont"/>
    <w:rsid w:val="00B15F9B"/>
  </w:style>
  <w:style w:type="character" w:customStyle="1" w:styleId="NAM">
    <w:name w:val="NAM"/>
    <w:basedOn w:val="DefaultParagraphFont"/>
    <w:rsid w:val="00B15F9B"/>
  </w:style>
  <w:style w:type="character" w:customStyle="1" w:styleId="SI">
    <w:name w:val="SI"/>
    <w:basedOn w:val="DefaultParagraphFont"/>
    <w:rsid w:val="00B15F9B"/>
    <w:rPr>
      <w:color w:val="008080"/>
    </w:rPr>
  </w:style>
  <w:style w:type="character" w:customStyle="1" w:styleId="IP">
    <w:name w:val="IP"/>
    <w:basedOn w:val="DefaultParagraphFont"/>
    <w:rsid w:val="00B15F9B"/>
    <w:rPr>
      <w:color w:val="FF0000"/>
    </w:rPr>
  </w:style>
  <w:style w:type="paragraph" w:customStyle="1" w:styleId="RJUST">
    <w:name w:val="RJUST"/>
    <w:basedOn w:val="Normal"/>
    <w:rsid w:val="00B15F9B"/>
    <w:pPr>
      <w:jc w:val="right"/>
    </w:pPr>
  </w:style>
  <w:style w:type="paragraph" w:styleId="Header">
    <w:name w:val="header"/>
    <w:basedOn w:val="Normal"/>
    <w:link w:val="HeaderChar"/>
    <w:rsid w:val="007D5562"/>
    <w:pPr>
      <w:tabs>
        <w:tab w:val="center" w:pos="4680"/>
        <w:tab w:val="right" w:pos="9360"/>
      </w:tabs>
    </w:pPr>
  </w:style>
  <w:style w:type="character" w:customStyle="1" w:styleId="HeaderChar">
    <w:name w:val="Header Char"/>
    <w:basedOn w:val="DefaultParagraphFont"/>
    <w:link w:val="Header"/>
    <w:rsid w:val="007D5562"/>
    <w:rPr>
      <w:sz w:val="22"/>
    </w:rPr>
  </w:style>
  <w:style w:type="paragraph" w:styleId="Footer">
    <w:name w:val="footer"/>
    <w:basedOn w:val="Normal"/>
    <w:link w:val="FooterChar"/>
    <w:rsid w:val="007D5562"/>
    <w:pPr>
      <w:tabs>
        <w:tab w:val="center" w:pos="4680"/>
        <w:tab w:val="right" w:pos="9360"/>
      </w:tabs>
    </w:pPr>
  </w:style>
  <w:style w:type="character" w:customStyle="1" w:styleId="FooterChar">
    <w:name w:val="Footer Char"/>
    <w:basedOn w:val="DefaultParagraphFont"/>
    <w:link w:val="Footer"/>
    <w:rsid w:val="007D5562"/>
    <w:rPr>
      <w:sz w:val="22"/>
    </w:rPr>
  </w:style>
  <w:style w:type="character" w:styleId="CommentReference">
    <w:name w:val="annotation reference"/>
    <w:basedOn w:val="DefaultParagraphFont"/>
    <w:rsid w:val="00F25927"/>
    <w:rPr>
      <w:sz w:val="16"/>
      <w:szCs w:val="16"/>
    </w:rPr>
  </w:style>
  <w:style w:type="paragraph" w:styleId="CommentText">
    <w:name w:val="annotation text"/>
    <w:basedOn w:val="Normal"/>
    <w:link w:val="CommentTextChar"/>
    <w:rsid w:val="00F25927"/>
    <w:rPr>
      <w:sz w:val="20"/>
    </w:rPr>
  </w:style>
  <w:style w:type="character" w:customStyle="1" w:styleId="CommentTextChar">
    <w:name w:val="Comment Text Char"/>
    <w:basedOn w:val="DefaultParagraphFont"/>
    <w:link w:val="CommentText"/>
    <w:rsid w:val="00F25927"/>
  </w:style>
  <w:style w:type="paragraph" w:styleId="CommentSubject">
    <w:name w:val="annotation subject"/>
    <w:basedOn w:val="CommentText"/>
    <w:next w:val="CommentText"/>
    <w:link w:val="CommentSubjectChar"/>
    <w:rsid w:val="00F25927"/>
    <w:rPr>
      <w:b/>
      <w:bCs/>
    </w:rPr>
  </w:style>
  <w:style w:type="character" w:customStyle="1" w:styleId="CommentSubjectChar">
    <w:name w:val="Comment Subject Char"/>
    <w:basedOn w:val="CommentTextChar"/>
    <w:link w:val="CommentSubject"/>
    <w:rsid w:val="00F25927"/>
    <w:rPr>
      <w:b/>
      <w:bCs/>
    </w:rPr>
  </w:style>
  <w:style w:type="paragraph" w:styleId="BalloonText">
    <w:name w:val="Balloon Text"/>
    <w:basedOn w:val="Normal"/>
    <w:link w:val="BalloonTextChar"/>
    <w:rsid w:val="00F25927"/>
    <w:rPr>
      <w:rFonts w:ascii="Tahoma" w:hAnsi="Tahoma" w:cs="Tahoma"/>
      <w:sz w:val="16"/>
      <w:szCs w:val="16"/>
    </w:rPr>
  </w:style>
  <w:style w:type="character" w:customStyle="1" w:styleId="BalloonTextChar">
    <w:name w:val="Balloon Text Char"/>
    <w:basedOn w:val="DefaultParagraphFont"/>
    <w:link w:val="BalloonText"/>
    <w:rsid w:val="00F2592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SECTION 018113 - SUSTAINABLE DESIGN REQUIREMENTS</vt:lpstr>
    </vt:vector>
  </TitlesOfParts>
  <Company> </Company>
  <LinksUpToDate>false</LinksUpToDate>
  <CharactersWithSpaces>13299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018113 - SUSTAINABLE DESIGN REQUIREMENTS</dc:title>
  <dc:subject>SUSTAINABLE DESIGN REQUIREMENTS</dc:subject>
  <dc:creator>ARCOM, Inc.</dc:creator>
  <cp:keywords>BAS-12345-MS80</cp:keywords>
  <cp:lastModifiedBy>amawn</cp:lastModifiedBy>
  <cp:revision>13</cp:revision>
  <cp:lastPrinted>2010-04-20T15:18:00Z</cp:lastPrinted>
  <dcterms:created xsi:type="dcterms:W3CDTF">2009-08-20T14:46:00Z</dcterms:created>
  <dcterms:modified xsi:type="dcterms:W3CDTF">2011-05-23T18:10:00Z</dcterms:modified>
</cp:coreProperties>
</file>