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16" w:rsidRPr="00094427" w:rsidRDefault="00EE5116" w:rsidP="00094427">
      <w:pPr>
        <w:autoSpaceDE w:val="0"/>
        <w:autoSpaceDN w:val="0"/>
        <w:adjustRightInd w:val="0"/>
        <w:spacing w:after="0" w:line="240" w:lineRule="auto"/>
        <w:jc w:val="both"/>
        <w:rPr>
          <w:rFonts w:ascii="Times New Roman" w:hAnsi="Times New Roman" w:cs="Times New Roman"/>
          <w:sz w:val="24"/>
          <w:szCs w:val="24"/>
        </w:rPr>
      </w:pPr>
      <w:r w:rsidRPr="00094427">
        <w:rPr>
          <w:rFonts w:ascii="Times New Roman" w:hAnsi="Times New Roman" w:cs="Times New Roman"/>
          <w:sz w:val="24"/>
          <w:szCs w:val="24"/>
        </w:rPr>
        <w:t xml:space="preserve">The following section of the Request for Proposal for </w:t>
      </w:r>
      <w:r w:rsidR="009012C8" w:rsidRPr="00094427">
        <w:rPr>
          <w:rFonts w:ascii="Times New Roman" w:hAnsi="Times New Roman" w:cs="Times New Roman"/>
          <w:sz w:val="24"/>
          <w:szCs w:val="24"/>
        </w:rPr>
        <w:t>Buffalo State College – Tower 2 Renovations</w:t>
      </w:r>
      <w:r w:rsidRPr="00094427">
        <w:rPr>
          <w:rFonts w:ascii="Times New Roman" w:hAnsi="Times New Roman" w:cs="Times New Roman"/>
          <w:sz w:val="24"/>
          <w:szCs w:val="24"/>
        </w:rPr>
        <w:t xml:space="preserve"> is amended as follows:</w:t>
      </w: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r w:rsidRPr="00094427">
        <w:rPr>
          <w:rFonts w:ascii="Times New Roman" w:hAnsi="Times New Roman" w:cs="Times New Roman"/>
          <w:sz w:val="24"/>
          <w:szCs w:val="24"/>
          <w:u w:val="single"/>
        </w:rPr>
        <w:t xml:space="preserve">Section 1.2 - </w:t>
      </w:r>
      <w:r w:rsidRPr="00094427">
        <w:rPr>
          <w:rFonts w:ascii="Times New Roman" w:hAnsi="Times New Roman" w:cs="Times New Roman"/>
          <w:bCs/>
          <w:sz w:val="24"/>
          <w:szCs w:val="24"/>
          <w:u w:val="single"/>
        </w:rPr>
        <w:t>Purpose and Project Overview</w:t>
      </w: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p>
    <w:p w:rsidR="00094427" w:rsidRPr="00094427" w:rsidRDefault="00094427" w:rsidP="00094427">
      <w:pPr>
        <w:jc w:val="both"/>
        <w:rPr>
          <w:rFonts w:ascii="Times New Roman" w:hAnsi="Times New Roman" w:cs="Times New Roman"/>
          <w:sz w:val="24"/>
          <w:szCs w:val="24"/>
        </w:rPr>
      </w:pPr>
      <w:r w:rsidRPr="00094427">
        <w:rPr>
          <w:rFonts w:ascii="Times New Roman" w:hAnsi="Times New Roman" w:cs="Times New Roman"/>
          <w:sz w:val="24"/>
          <w:szCs w:val="24"/>
        </w:rPr>
        <w:t>DASNY seeks proposals from Construction Managers to provide, on an at-risk basis,</w:t>
      </w:r>
      <w:r>
        <w:rPr>
          <w:rFonts w:ascii="Times New Roman" w:hAnsi="Times New Roman" w:cs="Times New Roman"/>
          <w:sz w:val="24"/>
          <w:szCs w:val="24"/>
        </w:rPr>
        <w:t xml:space="preserve"> </w:t>
      </w:r>
      <w:r w:rsidRPr="00094427">
        <w:rPr>
          <w:rFonts w:ascii="Times New Roman" w:hAnsi="Times New Roman" w:cs="Times New Roman"/>
          <w:sz w:val="24"/>
          <w:szCs w:val="24"/>
        </w:rPr>
        <w:t xml:space="preserve">professional construction management services during the design and construction of </w:t>
      </w:r>
      <w:r w:rsidRPr="00094427">
        <w:rPr>
          <w:rFonts w:ascii="Times New Roman" w:hAnsi="Times New Roman" w:cs="Times New Roman"/>
          <w:bCs/>
          <w:sz w:val="24"/>
          <w:szCs w:val="24"/>
        </w:rPr>
        <w:t>Tower 2,</w:t>
      </w:r>
      <w:r w:rsidRPr="00094427">
        <w:rPr>
          <w:rFonts w:ascii="Times New Roman" w:hAnsi="Times New Roman" w:cs="Times New Roman"/>
          <w:b/>
          <w:bCs/>
          <w:sz w:val="24"/>
          <w:szCs w:val="24"/>
        </w:rPr>
        <w:t xml:space="preserve"> </w:t>
      </w:r>
      <w:r w:rsidRPr="00094427">
        <w:rPr>
          <w:rFonts w:ascii="Times New Roman" w:hAnsi="Times New Roman" w:cs="Times New Roman"/>
          <w:color w:val="000000" w:themeColor="text1"/>
          <w:sz w:val="24"/>
          <w:szCs w:val="24"/>
        </w:rPr>
        <w:t xml:space="preserve">a </w:t>
      </w:r>
      <w:proofErr w:type="gramStart"/>
      <w:r w:rsidRPr="00094427">
        <w:rPr>
          <w:rFonts w:ascii="Times New Roman" w:hAnsi="Times New Roman" w:cs="Times New Roman"/>
          <w:color w:val="000000" w:themeColor="text1"/>
          <w:sz w:val="24"/>
          <w:szCs w:val="24"/>
        </w:rPr>
        <w:t>10 story</w:t>
      </w:r>
      <w:proofErr w:type="gramEnd"/>
      <w:r w:rsidRPr="00094427">
        <w:rPr>
          <w:rFonts w:ascii="Times New Roman" w:hAnsi="Times New Roman" w:cs="Times New Roman"/>
          <w:color w:val="000000" w:themeColor="text1"/>
          <w:sz w:val="24"/>
          <w:szCs w:val="24"/>
        </w:rPr>
        <w:t xml:space="preserve"> dormitory with 210 beds on the campus of Buffalo State College. The scope of this project will be to renovate all 10 stories and the basement, with LEED Silver </w:t>
      </w:r>
      <w:r w:rsidRPr="00094427">
        <w:rPr>
          <w:rFonts w:ascii="Times New Roman" w:hAnsi="Times New Roman" w:cs="Times New Roman"/>
          <w:sz w:val="24"/>
          <w:szCs w:val="24"/>
        </w:rPr>
        <w:t>Certification. Specifically, the scope of the renovation work includes, but is not limited to:  the removal and remediation of hazardous materials; the removal and replacement of the majority of the mechanical, electrical and plumbing systems; access control system throughout the building; rehabilitation of the buildings two elevators; reconfiguration of the basement, including the addition of a fire pump room, emergency generator room, study room, public toilet, bike storage room, enlargement of the laundry room and updating of finishes; reconfiguration of the first floor including the addition of an accessible student bedroom with an accessible bathroom, entrance on the west of the building; air conditioning in the Resident Director (“RD”) Apartment and Office, enlargement of the student lounge through a small addition to the north and east, and removal and replacement of window and storefront; floors 2-9, contain four student suites per floor with each suite containing three bedrooms, a suite lounge and a suite bathroom, the suite bathrooms will be completely renovated and reconfigured including new showers and shower enclosures, water closets, lavatory fixtures, lighting fixtures, wall and floor tile, mirrors and upgraded ventilation systems (one of the bathrooms will be configured to be accessible), the suite lounges and bedrooms will receive new finishes, the bedrooms will receive new wardrobes and all doors and door frames will be replaced; the 10</w:t>
      </w:r>
      <w:r w:rsidRPr="00094427">
        <w:rPr>
          <w:rFonts w:ascii="Times New Roman" w:hAnsi="Times New Roman" w:cs="Times New Roman"/>
          <w:sz w:val="24"/>
          <w:szCs w:val="24"/>
          <w:vertAlign w:val="superscript"/>
        </w:rPr>
        <w:t>th</w:t>
      </w:r>
      <w:r w:rsidRPr="00094427">
        <w:rPr>
          <w:rFonts w:ascii="Times New Roman" w:hAnsi="Times New Roman" w:cs="Times New Roman"/>
          <w:sz w:val="24"/>
          <w:szCs w:val="24"/>
        </w:rPr>
        <w:t xml:space="preserve"> floor contains three suites and a student lounge with a public toilet, the work in the three suites will be the same as the suites on floors 2- 9, the student lounge has a kitchenette which will be removed and replaced and the public toilet will be reconfigured to be accessible; all floors contain a core area containing two elevators, lobby, two stairs, janitors closet and storage room, the lobby, stairs, janitors closet, and storage room will receive new doors and door frames and finishes; site work includes the removal and replacement of sidewalks, and the removal and installation of areaways.</w:t>
      </w:r>
    </w:p>
    <w:p w:rsidR="00094427" w:rsidRPr="00094427" w:rsidRDefault="00094427" w:rsidP="00094427">
      <w:pPr>
        <w:pStyle w:val="BodyText2"/>
        <w:tabs>
          <w:tab w:val="decimal" w:pos="1080"/>
        </w:tabs>
        <w:ind w:left="0" w:firstLine="0"/>
        <w:rPr>
          <w:szCs w:val="24"/>
        </w:rPr>
      </w:pPr>
    </w:p>
    <w:p w:rsidR="00094427" w:rsidRPr="00094427" w:rsidRDefault="00094427" w:rsidP="00094427">
      <w:pPr>
        <w:pStyle w:val="BodyText2"/>
        <w:tabs>
          <w:tab w:val="decimal" w:pos="1080"/>
        </w:tabs>
        <w:ind w:left="0" w:firstLine="0"/>
        <w:rPr>
          <w:b/>
          <w:bCs/>
          <w:szCs w:val="24"/>
        </w:rPr>
      </w:pPr>
      <w:r w:rsidRPr="00094427">
        <w:rPr>
          <w:szCs w:val="24"/>
        </w:rPr>
        <w:t xml:space="preserve">The Construction Manager-at-Risk (hereinafter referred to as the “CMR”) is a construction manager who will contract with DASNY to submit a Guaranteed Maximum Price (GMP) for the construction of the project and will assume a risk if the final actual construction cost exceeds the GMP. The estimated construction value of project is </w:t>
      </w:r>
      <w:r w:rsidRPr="00094427">
        <w:rPr>
          <w:b/>
          <w:bCs/>
          <w:szCs w:val="24"/>
        </w:rPr>
        <w:t>$10,000,000</w:t>
      </w:r>
      <w:r w:rsidRPr="00094427">
        <w:rPr>
          <w:szCs w:val="24"/>
        </w:rPr>
        <w:t>.</w:t>
      </w: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r w:rsidRPr="00094427">
        <w:rPr>
          <w:rFonts w:ascii="Times New Roman" w:hAnsi="Times New Roman"/>
          <w:szCs w:val="24"/>
        </w:rPr>
        <w:t xml:space="preserve">Services will be performed in two phases and executed in three separate contracts.  The three contracts are Pre-Construction Phase, Construction </w:t>
      </w:r>
      <w:proofErr w:type="gramStart"/>
      <w:r w:rsidRPr="00094427">
        <w:rPr>
          <w:rFonts w:ascii="Times New Roman" w:hAnsi="Times New Roman"/>
          <w:szCs w:val="24"/>
        </w:rPr>
        <w:t>Phase</w:t>
      </w:r>
      <w:proofErr w:type="gramEnd"/>
      <w:r w:rsidRPr="00094427">
        <w:rPr>
          <w:rFonts w:ascii="Times New Roman" w:hAnsi="Times New Roman"/>
          <w:szCs w:val="24"/>
        </w:rPr>
        <w:t xml:space="preserve"> and General Conditions Work Phase.  DASNY’s standard General Conditions will apply to the construction phase work.</w:t>
      </w: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r w:rsidRPr="00094427">
        <w:rPr>
          <w:rFonts w:ascii="Times New Roman" w:hAnsi="Times New Roman"/>
          <w:szCs w:val="24"/>
        </w:rPr>
        <w:t xml:space="preserve">Pre-Construction phase services will occur during the design of the project.  The CMR will be an integral member of the Project Team, consisting of representatives from DASNY, the Design Professional, and other consultants, as required. DASNY will manage the Design Professional.  </w:t>
      </w:r>
      <w:r w:rsidRPr="00094427">
        <w:rPr>
          <w:rFonts w:ascii="Times New Roman" w:hAnsi="Times New Roman"/>
          <w:szCs w:val="24"/>
        </w:rPr>
        <w:lastRenderedPageBreak/>
        <w:t xml:space="preserve">Generally, it will be the responsibility of the CMR to integrate the design and construction phases, utilizing their skills and knowledge of general contracting to develop schedules, prepare detailed project construction estimates, study labor conditions, and in any other way deemed necessary, to contribute to the development of the project during the Pre-Construction Phase. Upon selection of the CMR by DASNY, the Pre-Construction Phase contract will authorize the CMR to provide Pre-Construction Phase services only, including without limitation the provision of a GMP for the </w:t>
      </w:r>
      <w:proofErr w:type="gramStart"/>
      <w:r w:rsidRPr="00094427">
        <w:rPr>
          <w:rFonts w:ascii="Times New Roman" w:hAnsi="Times New Roman"/>
          <w:szCs w:val="24"/>
        </w:rPr>
        <w:t>final completion</w:t>
      </w:r>
      <w:proofErr w:type="gramEnd"/>
      <w:r w:rsidRPr="00094427">
        <w:rPr>
          <w:rFonts w:ascii="Times New Roman" w:hAnsi="Times New Roman"/>
          <w:szCs w:val="24"/>
        </w:rPr>
        <w:t xml:space="preserve"> of the Project by the CMR.   Provisions may be made for early bid packages to be let out under the Pre-Construction contract should the need arise.</w:t>
      </w: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r w:rsidRPr="00094427">
        <w:rPr>
          <w:rFonts w:ascii="Times New Roman" w:hAnsi="Times New Roman"/>
          <w:szCs w:val="24"/>
        </w:rPr>
        <w:t xml:space="preserve">At the end of the Pre-Construction Phase, and in accordance with the terms and conditions of this RFP, DASNY will execute Construction Phase and General Conditions Work Phase contracts.  Construction phase services will include the award and management of numerous principal and specialty trade contracts </w:t>
      </w:r>
      <w:proofErr w:type="gramStart"/>
      <w:r w:rsidRPr="00094427">
        <w:rPr>
          <w:rFonts w:ascii="Times New Roman" w:hAnsi="Times New Roman"/>
          <w:szCs w:val="24"/>
        </w:rPr>
        <w:t>in order to</w:t>
      </w:r>
      <w:proofErr w:type="gramEnd"/>
      <w:r w:rsidRPr="00094427">
        <w:rPr>
          <w:rFonts w:ascii="Times New Roman" w:hAnsi="Times New Roman"/>
          <w:szCs w:val="24"/>
        </w:rPr>
        <w:t xml:space="preserve"> provide the actual construction of the Project as well as the award and management of general conditions work items (i.e. site security, temporary utilities, etc.). The contract will stipulate the accepted GMP and authorize the CMR to receive bids and award Trade Contracts to accomplish the construction of the Project. During the construction phase, the CMR will be responsible for affecting the construction of the project within the GMP providing all necessary construction services through Trade Contractors selected as hereinafter provided.</w:t>
      </w:r>
    </w:p>
    <w:p w:rsidR="00094427" w:rsidRPr="00094427" w:rsidRDefault="00094427" w:rsidP="00094427">
      <w:pPr>
        <w:pStyle w:val="Level3"/>
        <w:numPr>
          <w:ilvl w:val="0"/>
          <w:numId w:val="0"/>
        </w:numPr>
        <w:tabs>
          <w:tab w:val="left" w:pos="-1080"/>
          <w:tab w:val="left" w:pos="-360"/>
        </w:tabs>
        <w:jc w:val="both"/>
        <w:rPr>
          <w:rFonts w:ascii="Times New Roman" w:hAnsi="Times New Roman"/>
          <w:szCs w:val="24"/>
        </w:rPr>
      </w:pP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r w:rsidRPr="00094427">
        <w:rPr>
          <w:rFonts w:ascii="Times New Roman" w:hAnsi="Times New Roman" w:cs="Times New Roman"/>
          <w:sz w:val="24"/>
          <w:szCs w:val="24"/>
        </w:rPr>
        <w:t xml:space="preserve">The completion date for this project is </w:t>
      </w:r>
      <w:r w:rsidRPr="00A255AC">
        <w:rPr>
          <w:rFonts w:ascii="Times New Roman" w:hAnsi="Times New Roman" w:cs="Times New Roman"/>
          <w:strike/>
          <w:color w:val="FF0000"/>
          <w:sz w:val="24"/>
          <w:szCs w:val="24"/>
        </w:rPr>
        <w:t>July 10, 2021</w:t>
      </w:r>
      <w:r w:rsidR="00A255AC" w:rsidRPr="00A255AC">
        <w:rPr>
          <w:rFonts w:ascii="Times New Roman" w:hAnsi="Times New Roman" w:cs="Times New Roman"/>
          <w:sz w:val="24"/>
          <w:szCs w:val="24"/>
        </w:rPr>
        <w:t xml:space="preserve"> </w:t>
      </w:r>
      <w:r w:rsidR="00A255AC" w:rsidRPr="00A255AC">
        <w:rPr>
          <w:rFonts w:ascii="Times New Roman" w:hAnsi="Times New Roman" w:cs="Times New Roman"/>
          <w:color w:val="FF0000"/>
          <w:sz w:val="24"/>
          <w:szCs w:val="24"/>
        </w:rPr>
        <w:t>July, 10, 2020</w:t>
      </w:r>
      <w:r w:rsidRPr="00094427">
        <w:rPr>
          <w:rFonts w:ascii="Times New Roman" w:hAnsi="Times New Roman" w:cs="Times New Roman"/>
          <w:sz w:val="24"/>
          <w:szCs w:val="24"/>
        </w:rPr>
        <w:t xml:space="preserve">.  Liquidated damages will be assessed in the amount of $5,000.00 per day for </w:t>
      </w:r>
      <w:proofErr w:type="gramStart"/>
      <w:r w:rsidRPr="00094427">
        <w:rPr>
          <w:rFonts w:ascii="Times New Roman" w:hAnsi="Times New Roman" w:cs="Times New Roman"/>
          <w:sz w:val="24"/>
          <w:szCs w:val="24"/>
        </w:rPr>
        <w:t>each and every</w:t>
      </w:r>
      <w:proofErr w:type="gramEnd"/>
      <w:r w:rsidRPr="00094427">
        <w:rPr>
          <w:rFonts w:ascii="Times New Roman" w:hAnsi="Times New Roman" w:cs="Times New Roman"/>
          <w:sz w:val="24"/>
          <w:szCs w:val="24"/>
        </w:rPr>
        <w:t xml:space="preserve"> calendar day that the CMR fails to complete within this timeframe.</w:t>
      </w: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p>
    <w:p w:rsidR="00094427" w:rsidRPr="00094427" w:rsidRDefault="00094427" w:rsidP="00094427">
      <w:pPr>
        <w:autoSpaceDE w:val="0"/>
        <w:autoSpaceDN w:val="0"/>
        <w:adjustRightInd w:val="0"/>
        <w:spacing w:after="0" w:line="240" w:lineRule="auto"/>
        <w:jc w:val="both"/>
        <w:rPr>
          <w:rFonts w:ascii="Times New Roman" w:hAnsi="Times New Roman" w:cs="Times New Roman"/>
          <w:sz w:val="24"/>
          <w:szCs w:val="24"/>
          <w:u w:val="single"/>
        </w:rPr>
      </w:pPr>
    </w:p>
    <w:p w:rsidR="00EE5116" w:rsidRPr="00094427" w:rsidRDefault="00EE5116" w:rsidP="00094427">
      <w:pPr>
        <w:autoSpaceDE w:val="0"/>
        <w:autoSpaceDN w:val="0"/>
        <w:adjustRightInd w:val="0"/>
        <w:spacing w:after="0" w:line="240" w:lineRule="auto"/>
        <w:jc w:val="both"/>
        <w:rPr>
          <w:rFonts w:ascii="Times New Roman" w:hAnsi="Times New Roman" w:cs="Times New Roman"/>
          <w:sz w:val="24"/>
          <w:szCs w:val="24"/>
          <w:u w:val="single"/>
        </w:rPr>
      </w:pPr>
      <w:r w:rsidRPr="00094427">
        <w:rPr>
          <w:rFonts w:ascii="Times New Roman" w:hAnsi="Times New Roman" w:cs="Times New Roman"/>
          <w:sz w:val="24"/>
          <w:szCs w:val="24"/>
          <w:u w:val="single"/>
        </w:rPr>
        <w:t xml:space="preserve">Section </w:t>
      </w:r>
      <w:r w:rsidR="00DC1E59" w:rsidRPr="00094427">
        <w:rPr>
          <w:rFonts w:ascii="Times New Roman" w:hAnsi="Times New Roman" w:cs="Times New Roman"/>
          <w:sz w:val="24"/>
          <w:szCs w:val="24"/>
          <w:u w:val="single"/>
        </w:rPr>
        <w:t>1.5</w:t>
      </w:r>
      <w:r w:rsidR="00803205" w:rsidRPr="00094427">
        <w:rPr>
          <w:rFonts w:ascii="Times New Roman" w:hAnsi="Times New Roman" w:cs="Times New Roman"/>
          <w:sz w:val="24"/>
          <w:szCs w:val="24"/>
          <w:u w:val="single"/>
        </w:rPr>
        <w:t xml:space="preserve"> - </w:t>
      </w:r>
      <w:r w:rsidR="00803205" w:rsidRPr="00094427">
        <w:rPr>
          <w:rFonts w:ascii="Times New Roman" w:hAnsi="Times New Roman" w:cs="Times New Roman"/>
          <w:snapToGrid w:val="0"/>
          <w:sz w:val="24"/>
          <w:szCs w:val="24"/>
          <w:u w:val="single"/>
        </w:rPr>
        <w:t>Preliminary Project Schedule</w:t>
      </w:r>
    </w:p>
    <w:p w:rsidR="00EE5116" w:rsidRPr="00094427" w:rsidRDefault="00EE5116" w:rsidP="00094427">
      <w:pPr>
        <w:autoSpaceDE w:val="0"/>
        <w:autoSpaceDN w:val="0"/>
        <w:adjustRightInd w:val="0"/>
        <w:spacing w:after="0" w:line="240" w:lineRule="auto"/>
        <w:jc w:val="both"/>
        <w:rPr>
          <w:rFonts w:ascii="Times New Roman" w:hAnsi="Times New Roman" w:cs="Times New Roman"/>
          <w:sz w:val="24"/>
          <w:szCs w:val="24"/>
        </w:rPr>
      </w:pPr>
    </w:p>
    <w:p w:rsidR="00803205" w:rsidRPr="00094427" w:rsidRDefault="00803205" w:rsidP="00094427">
      <w:pPr>
        <w:tabs>
          <w:tab w:val="center" w:pos="720"/>
          <w:tab w:val="left" w:pos="684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100% Construction Documents issued to CMR</w:t>
      </w:r>
      <w:r w:rsidRPr="00094427">
        <w:rPr>
          <w:rFonts w:ascii="Times New Roman" w:hAnsi="Times New Roman" w:cs="Times New Roman"/>
          <w:snapToGrid w:val="0"/>
          <w:sz w:val="24"/>
          <w:szCs w:val="24"/>
        </w:rPr>
        <w:tab/>
        <w:t>11/01/18</w:t>
      </w:r>
      <w:r w:rsidRPr="00094427">
        <w:rPr>
          <w:rFonts w:ascii="Times New Roman" w:hAnsi="Times New Roman" w:cs="Times New Roman"/>
          <w:snapToGrid w:val="0"/>
          <w:sz w:val="24"/>
          <w:szCs w:val="24"/>
        </w:rPr>
        <w:tab/>
      </w:r>
    </w:p>
    <w:p w:rsidR="00803205" w:rsidRPr="00094427" w:rsidRDefault="00803205" w:rsidP="00094427">
      <w:pPr>
        <w:tabs>
          <w:tab w:val="center" w:pos="720"/>
          <w:tab w:val="left" w:pos="684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Reconciled 100% estimate by CMR and A/E</w:t>
      </w:r>
      <w:r w:rsidRPr="00094427">
        <w:rPr>
          <w:rFonts w:ascii="Times New Roman" w:hAnsi="Times New Roman" w:cs="Times New Roman"/>
          <w:snapToGrid w:val="0"/>
          <w:sz w:val="24"/>
          <w:szCs w:val="24"/>
        </w:rPr>
        <w:tab/>
        <w:t>11/29/18</w:t>
      </w:r>
    </w:p>
    <w:p w:rsidR="00803205" w:rsidRPr="00094427" w:rsidRDefault="00803205" w:rsidP="00094427">
      <w:pPr>
        <w:tabs>
          <w:tab w:val="center" w:pos="720"/>
          <w:tab w:val="left" w:pos="684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 xml:space="preserve">GMP from CMR to DASNY </w:t>
      </w:r>
      <w:r w:rsidRPr="00094427">
        <w:rPr>
          <w:rFonts w:ascii="Times New Roman" w:hAnsi="Times New Roman" w:cs="Times New Roman"/>
          <w:snapToGrid w:val="0"/>
          <w:sz w:val="24"/>
          <w:szCs w:val="24"/>
        </w:rPr>
        <w:tab/>
        <w:t>01/11/19</w:t>
      </w:r>
    </w:p>
    <w:p w:rsidR="00803205" w:rsidRPr="00094427" w:rsidRDefault="00803205" w:rsidP="00094427">
      <w:pPr>
        <w:tabs>
          <w:tab w:val="center" w:pos="720"/>
          <w:tab w:val="left" w:pos="684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Construction start</w:t>
      </w:r>
      <w:r w:rsidRPr="00094427">
        <w:rPr>
          <w:rFonts w:ascii="Times New Roman" w:hAnsi="Times New Roman" w:cs="Times New Roman"/>
          <w:snapToGrid w:val="0"/>
          <w:sz w:val="24"/>
          <w:szCs w:val="24"/>
        </w:rPr>
        <w:tab/>
        <w:t>05/20/19</w:t>
      </w:r>
    </w:p>
    <w:p w:rsidR="00803205" w:rsidRPr="00094427" w:rsidRDefault="00803205" w:rsidP="00094427">
      <w:pPr>
        <w:tabs>
          <w:tab w:val="center" w:pos="720"/>
          <w:tab w:val="left" w:pos="684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Construction Substantial Completion with TAO</w:t>
      </w:r>
      <w:r w:rsidRPr="00094427">
        <w:rPr>
          <w:rFonts w:ascii="Times New Roman" w:hAnsi="Times New Roman" w:cs="Times New Roman"/>
          <w:snapToGrid w:val="0"/>
          <w:sz w:val="24"/>
          <w:szCs w:val="24"/>
        </w:rPr>
        <w:tab/>
      </w:r>
      <w:r w:rsidRPr="00094427">
        <w:rPr>
          <w:rFonts w:ascii="Times New Roman" w:hAnsi="Times New Roman" w:cs="Times New Roman"/>
          <w:strike/>
          <w:snapToGrid w:val="0"/>
          <w:color w:val="FF0000"/>
          <w:sz w:val="24"/>
          <w:szCs w:val="24"/>
        </w:rPr>
        <w:t>07/10/21</w:t>
      </w:r>
      <w:r w:rsidRPr="00094427">
        <w:rPr>
          <w:rFonts w:ascii="Times New Roman" w:hAnsi="Times New Roman" w:cs="Times New Roman"/>
          <w:snapToGrid w:val="0"/>
          <w:sz w:val="24"/>
          <w:szCs w:val="24"/>
        </w:rPr>
        <w:t xml:space="preserve"> </w:t>
      </w:r>
      <w:r w:rsidRPr="00A255AC">
        <w:rPr>
          <w:rFonts w:ascii="Times New Roman" w:hAnsi="Times New Roman" w:cs="Times New Roman"/>
          <w:snapToGrid w:val="0"/>
          <w:color w:val="FF0000"/>
          <w:sz w:val="24"/>
          <w:szCs w:val="24"/>
        </w:rPr>
        <w:t>7/10/20</w:t>
      </w:r>
    </w:p>
    <w:p w:rsidR="00803205" w:rsidRPr="00094427" w:rsidRDefault="00803205" w:rsidP="00094427">
      <w:pPr>
        <w:tabs>
          <w:tab w:val="center" w:pos="1440"/>
          <w:tab w:val="center" w:pos="7200"/>
        </w:tabs>
        <w:spacing w:after="0" w:line="240" w:lineRule="auto"/>
        <w:ind w:left="720"/>
        <w:jc w:val="both"/>
        <w:rPr>
          <w:rFonts w:ascii="Times New Roman" w:hAnsi="Times New Roman" w:cs="Times New Roman"/>
          <w:snapToGrid w:val="0"/>
          <w:sz w:val="24"/>
          <w:szCs w:val="24"/>
        </w:rPr>
      </w:pPr>
      <w:r w:rsidRPr="00094427">
        <w:rPr>
          <w:rFonts w:ascii="Times New Roman" w:hAnsi="Times New Roman" w:cs="Times New Roman"/>
          <w:snapToGrid w:val="0"/>
          <w:sz w:val="24"/>
          <w:szCs w:val="24"/>
        </w:rPr>
        <w:t>(TAO – Temporary Approval for Occupancy)</w:t>
      </w:r>
    </w:p>
    <w:p w:rsidR="00EE5116" w:rsidRPr="00094427" w:rsidRDefault="00EE5116" w:rsidP="00094427">
      <w:pPr>
        <w:autoSpaceDE w:val="0"/>
        <w:autoSpaceDN w:val="0"/>
        <w:adjustRightInd w:val="0"/>
        <w:spacing w:after="0" w:line="240" w:lineRule="auto"/>
        <w:ind w:left="720"/>
        <w:jc w:val="both"/>
        <w:rPr>
          <w:rFonts w:ascii="Times New Roman" w:hAnsi="Times New Roman" w:cs="Times New Roman"/>
          <w:sz w:val="24"/>
          <w:szCs w:val="24"/>
        </w:rPr>
      </w:pPr>
    </w:p>
    <w:p w:rsidR="00571916" w:rsidRPr="00094427" w:rsidRDefault="00571916" w:rsidP="00094427">
      <w:pPr>
        <w:jc w:val="both"/>
        <w:rPr>
          <w:rFonts w:ascii="Times New Roman" w:hAnsi="Times New Roman" w:cs="Times New Roman"/>
          <w:sz w:val="24"/>
          <w:szCs w:val="24"/>
        </w:rPr>
      </w:pPr>
      <w:bookmarkStart w:id="0" w:name="_GoBack"/>
      <w:bookmarkEnd w:id="0"/>
    </w:p>
    <w:sectPr w:rsidR="00571916" w:rsidRPr="00094427" w:rsidSect="003E1A7C">
      <w:headerReference w:type="default" r:id="rId7"/>
      <w:foot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43" w:rsidRDefault="005A6E43" w:rsidP="005A6E43">
      <w:pPr>
        <w:spacing w:after="0" w:line="240" w:lineRule="auto"/>
      </w:pPr>
      <w:r>
        <w:separator/>
      </w:r>
    </w:p>
  </w:endnote>
  <w:endnote w:type="continuationSeparator" w:id="0">
    <w:p w:rsidR="005A6E43" w:rsidRDefault="005A6E43" w:rsidP="005A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930313"/>
      <w:docPartObj>
        <w:docPartGallery w:val="Page Numbers (Bottom of Page)"/>
        <w:docPartUnique/>
      </w:docPartObj>
    </w:sdtPr>
    <w:sdtContent>
      <w:sdt>
        <w:sdtPr>
          <w:id w:val="322252381"/>
          <w:docPartObj>
            <w:docPartGallery w:val="Page Numbers (Top of Page)"/>
            <w:docPartUnique/>
          </w:docPartObj>
        </w:sdtPr>
        <w:sdtContent>
          <w:p w:rsidR="003E1A7C" w:rsidRDefault="003E1A7C" w:rsidP="003E1A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E1A7C" w:rsidRDefault="003E1A7C" w:rsidP="003E1A7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103561"/>
      <w:docPartObj>
        <w:docPartGallery w:val="Page Numbers (Bottom of Page)"/>
        <w:docPartUnique/>
      </w:docPartObj>
    </w:sdtPr>
    <w:sdtEndPr/>
    <w:sdtContent>
      <w:sdt>
        <w:sdtPr>
          <w:id w:val="1728636285"/>
          <w:docPartObj>
            <w:docPartGallery w:val="Page Numbers (Top of Page)"/>
            <w:docPartUnique/>
          </w:docPartObj>
        </w:sdtPr>
        <w:sdtEndPr/>
        <w:sdtContent>
          <w:p w:rsidR="005A6E43" w:rsidRDefault="005A6E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1A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1A7C">
              <w:rPr>
                <w:b/>
                <w:bCs/>
                <w:noProof/>
              </w:rPr>
              <w:t>2</w:t>
            </w:r>
            <w:r>
              <w:rPr>
                <w:b/>
                <w:bCs/>
                <w:sz w:val="24"/>
                <w:szCs w:val="24"/>
              </w:rPr>
              <w:fldChar w:fldCharType="end"/>
            </w:r>
          </w:p>
        </w:sdtContent>
      </w:sdt>
    </w:sdtContent>
  </w:sdt>
  <w:p w:rsidR="005A6E43" w:rsidRDefault="005A6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43" w:rsidRDefault="005A6E43" w:rsidP="005A6E43">
      <w:pPr>
        <w:spacing w:after="0" w:line="240" w:lineRule="auto"/>
      </w:pPr>
      <w:r>
        <w:separator/>
      </w:r>
    </w:p>
  </w:footnote>
  <w:footnote w:type="continuationSeparator" w:id="0">
    <w:p w:rsidR="005A6E43" w:rsidRDefault="005A6E43" w:rsidP="005A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43" w:rsidRPr="005A6E43" w:rsidRDefault="003E1A7C" w:rsidP="005A6E43">
    <w:pPr>
      <w:pStyle w:val="Header"/>
      <w:jc w:val="both"/>
      <w:rPr>
        <w:rFonts w:ascii="Times New Roman" w:hAnsi="Times New Roman" w:cs="Times New Roman"/>
        <w:sz w:val="32"/>
        <w:szCs w:val="32"/>
      </w:rPr>
    </w:pPr>
    <w:r w:rsidRPr="003E1A7C">
      <w:rPr>
        <w:rFonts w:ascii="Times New Roman" w:hAnsi="Times New Roman" w:cs="Times New Roman"/>
        <w:sz w:val="32"/>
        <w:szCs w:val="32"/>
      </w:rPr>
      <w:t>Addendum 1 – July 12,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E43" w:rsidRDefault="005A6E43">
    <w:pPr>
      <w:pStyle w:val="Header"/>
    </w:pPr>
    <w:r w:rsidRPr="005A6E43">
      <w:rPr>
        <w:rFonts w:ascii="Times New Roman" w:hAnsi="Times New Roman" w:cs="Times New Roman"/>
        <w:sz w:val="32"/>
        <w:szCs w:val="32"/>
      </w:rPr>
      <w:t>Addendum</w:t>
    </w:r>
    <w:r>
      <w:rPr>
        <w:rFonts w:ascii="Times New Roman" w:hAnsi="Times New Roman" w:cs="Times New Roman"/>
        <w:sz w:val="32"/>
        <w:szCs w:val="32"/>
      </w:rPr>
      <w:t xml:space="preserve"> 1</w:t>
    </w:r>
    <w:r w:rsidRPr="005A6E43">
      <w:rPr>
        <w:rFonts w:ascii="Times New Roman" w:hAnsi="Times New Roman" w:cs="Times New Roman"/>
        <w:sz w:val="32"/>
        <w:szCs w:val="32"/>
      </w:rPr>
      <w:t xml:space="preserve"> – July 12,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885174F"/>
    <w:multiLevelType w:val="singleLevel"/>
    <w:tmpl w:val="DC240168"/>
    <w:lvl w:ilvl="0">
      <w:start w:val="1"/>
      <w:numFmt w:val="upperLetter"/>
      <w:lvlText w:val="%1."/>
      <w:legacy w:legacy="1" w:legacySpace="0" w:legacyIndent="360"/>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16"/>
    <w:rsid w:val="00094427"/>
    <w:rsid w:val="00096852"/>
    <w:rsid w:val="003E1A7C"/>
    <w:rsid w:val="00571916"/>
    <w:rsid w:val="005A6E43"/>
    <w:rsid w:val="00803205"/>
    <w:rsid w:val="009012C8"/>
    <w:rsid w:val="00A12536"/>
    <w:rsid w:val="00A255AC"/>
    <w:rsid w:val="00DC1E59"/>
    <w:rsid w:val="00EE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4D533"/>
  <w15:chartTrackingRefBased/>
  <w15:docId w15:val="{D01AD57D-ECA8-47B3-90B8-5C7B49E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116"/>
    <w:pPr>
      <w:spacing w:after="160" w:line="25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94427"/>
    <w:pPr>
      <w:overflowPunct w:val="0"/>
      <w:autoSpaceDE w:val="0"/>
      <w:autoSpaceDN w:val="0"/>
      <w:adjustRightInd w:val="0"/>
      <w:spacing w:after="0" w:line="240" w:lineRule="auto"/>
      <w:ind w:left="720" w:firstLine="360"/>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4427"/>
    <w:rPr>
      <w:rFonts w:ascii="Times New Roman" w:eastAsia="Times New Roman" w:hAnsi="Times New Roman" w:cs="Times New Roman"/>
      <w:sz w:val="24"/>
      <w:szCs w:val="20"/>
    </w:rPr>
  </w:style>
  <w:style w:type="paragraph" w:customStyle="1" w:styleId="Level1">
    <w:name w:val="Level 1"/>
    <w:basedOn w:val="Normal"/>
    <w:rsid w:val="00094427"/>
    <w:pPr>
      <w:widowControl w:val="0"/>
      <w:numPr>
        <w:numId w:val="2"/>
      </w:numPr>
      <w:spacing w:after="0" w:line="240" w:lineRule="auto"/>
      <w:outlineLvl w:val="0"/>
    </w:pPr>
    <w:rPr>
      <w:rFonts w:ascii="Courier" w:eastAsia="Times New Roman" w:hAnsi="Courier" w:cs="Times New Roman"/>
      <w:b/>
      <w:snapToGrid w:val="0"/>
      <w:sz w:val="24"/>
      <w:szCs w:val="20"/>
    </w:rPr>
  </w:style>
  <w:style w:type="paragraph" w:customStyle="1" w:styleId="Level2">
    <w:name w:val="Level 2"/>
    <w:basedOn w:val="Normal"/>
    <w:rsid w:val="00094427"/>
    <w:pPr>
      <w:widowControl w:val="0"/>
      <w:numPr>
        <w:ilvl w:val="1"/>
        <w:numId w:val="2"/>
      </w:numPr>
      <w:spacing w:after="0" w:line="240" w:lineRule="auto"/>
    </w:pPr>
    <w:rPr>
      <w:rFonts w:ascii="Courier" w:eastAsia="Times New Roman" w:hAnsi="Courier" w:cs="Times New Roman"/>
      <w:b/>
      <w:snapToGrid w:val="0"/>
      <w:sz w:val="24"/>
      <w:szCs w:val="20"/>
    </w:rPr>
  </w:style>
  <w:style w:type="paragraph" w:customStyle="1" w:styleId="Level3">
    <w:name w:val="Level 3"/>
    <w:basedOn w:val="Normal"/>
    <w:rsid w:val="00094427"/>
    <w:pPr>
      <w:widowControl w:val="0"/>
      <w:numPr>
        <w:ilvl w:val="2"/>
        <w:numId w:val="2"/>
      </w:numPr>
      <w:spacing w:after="0" w:line="240" w:lineRule="auto"/>
      <w:outlineLvl w:val="2"/>
    </w:pPr>
    <w:rPr>
      <w:rFonts w:ascii="Courier" w:eastAsia="Times New Roman" w:hAnsi="Courier" w:cs="Times New Roman"/>
      <w:snapToGrid w:val="0"/>
      <w:sz w:val="24"/>
      <w:szCs w:val="20"/>
    </w:rPr>
  </w:style>
  <w:style w:type="paragraph" w:customStyle="1" w:styleId="Level4">
    <w:name w:val="Level 4"/>
    <w:basedOn w:val="Normal"/>
    <w:rsid w:val="00094427"/>
    <w:pPr>
      <w:widowControl w:val="0"/>
      <w:numPr>
        <w:ilvl w:val="3"/>
        <w:numId w:val="2"/>
      </w:numPr>
      <w:spacing w:after="0" w:line="240" w:lineRule="auto"/>
      <w:outlineLvl w:val="3"/>
    </w:pPr>
    <w:rPr>
      <w:rFonts w:ascii="Courier" w:eastAsia="Times New Roman" w:hAnsi="Courier" w:cs="Times New Roman"/>
      <w:snapToGrid w:val="0"/>
      <w:sz w:val="24"/>
      <w:szCs w:val="20"/>
    </w:rPr>
  </w:style>
  <w:style w:type="paragraph" w:customStyle="1" w:styleId="Level5">
    <w:name w:val="Level 5"/>
    <w:basedOn w:val="Normal"/>
    <w:rsid w:val="00094427"/>
    <w:pPr>
      <w:widowControl w:val="0"/>
      <w:numPr>
        <w:ilvl w:val="4"/>
        <w:numId w:val="2"/>
      </w:numPr>
      <w:spacing w:after="0" w:line="240" w:lineRule="auto"/>
      <w:outlineLvl w:val="4"/>
    </w:pPr>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5A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43"/>
    <w:rPr>
      <w:rFonts w:eastAsiaTheme="minorEastAsia"/>
    </w:rPr>
  </w:style>
  <w:style w:type="paragraph" w:styleId="Footer">
    <w:name w:val="footer"/>
    <w:basedOn w:val="Normal"/>
    <w:link w:val="FooterChar"/>
    <w:uiPriority w:val="99"/>
    <w:unhideWhenUsed/>
    <w:rsid w:val="005A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E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Nicole</dc:creator>
  <cp:keywords/>
  <dc:description/>
  <cp:lastModifiedBy>White, Nicole</cp:lastModifiedBy>
  <cp:revision>9</cp:revision>
  <dcterms:created xsi:type="dcterms:W3CDTF">2018-07-12T14:47:00Z</dcterms:created>
  <dcterms:modified xsi:type="dcterms:W3CDTF">2018-07-12T18:17:00Z</dcterms:modified>
</cp:coreProperties>
</file>