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88" w:rsidRPr="00F93D74" w:rsidRDefault="00070B88" w:rsidP="00F93D74">
      <w:pPr>
        <w:pStyle w:val="Heading1"/>
        <w:spacing w:before="0"/>
        <w:jc w:val="center"/>
        <w:rPr>
          <w:b/>
        </w:rPr>
      </w:pPr>
      <w:r w:rsidRPr="00F93D74">
        <w:rPr>
          <w:b/>
        </w:rPr>
        <w:t>Executive Order No. 162</w:t>
      </w:r>
    </w:p>
    <w:p w:rsidR="00070B88" w:rsidRPr="00F93D74" w:rsidRDefault="00070B88" w:rsidP="00F93D74">
      <w:pPr>
        <w:pStyle w:val="Heading1"/>
        <w:spacing w:before="0"/>
        <w:jc w:val="center"/>
        <w:rPr>
          <w:b/>
        </w:rPr>
      </w:pPr>
      <w:r w:rsidRPr="00F93D74">
        <w:rPr>
          <w:b/>
        </w:rPr>
        <w:t>Frequently Asked Questions</w:t>
      </w:r>
      <w:r w:rsidR="002879B3" w:rsidRPr="00F93D74">
        <w:rPr>
          <w:rStyle w:val="FootnoteReference"/>
          <w:rFonts w:cstheme="minorHAnsi"/>
          <w:b/>
        </w:rPr>
        <w:footnoteReference w:id="1"/>
      </w:r>
    </w:p>
    <w:p w:rsidR="009F44D9" w:rsidRDefault="009F44D9" w:rsidP="00FA057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FA057A" w:rsidRDefault="00FA057A" w:rsidP="00FA057A">
      <w:pPr>
        <w:spacing w:after="0" w:line="276" w:lineRule="auto"/>
        <w:rPr>
          <w:rFonts w:cstheme="minorHAnsi"/>
          <w:b/>
          <w:sz w:val="28"/>
          <w:szCs w:val="28"/>
        </w:rPr>
      </w:pPr>
    </w:p>
    <w:p w:rsidR="00070B88" w:rsidRPr="009F44D9" w:rsidRDefault="00070B88" w:rsidP="00FA057A">
      <w:pPr>
        <w:spacing w:after="0" w:line="276" w:lineRule="auto"/>
        <w:rPr>
          <w:rFonts w:cstheme="minorHAnsi"/>
          <w:b/>
          <w:sz w:val="28"/>
          <w:szCs w:val="28"/>
        </w:rPr>
      </w:pPr>
      <w:r w:rsidRPr="009F44D9">
        <w:rPr>
          <w:rFonts w:cstheme="minorHAnsi"/>
          <w:b/>
          <w:sz w:val="28"/>
          <w:szCs w:val="28"/>
        </w:rPr>
        <w:t>General Questions</w:t>
      </w:r>
    </w:p>
    <w:p w:rsidR="00070B88" w:rsidRPr="00070B88" w:rsidRDefault="00070B88" w:rsidP="00FA057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b/>
          <w:i/>
          <w:sz w:val="24"/>
          <w:szCs w:val="24"/>
        </w:rPr>
        <w:t>1. How will New York State use this data?</w:t>
      </w:r>
      <w:r w:rsidRPr="00070B88">
        <w:rPr>
          <w:rFonts w:cstheme="minorHAnsi"/>
          <w:sz w:val="24"/>
          <w:szCs w:val="24"/>
        </w:rPr>
        <w:t xml:space="preserve"> New York State will use this data to determine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whether, in the aggregate, minority group members or women receive proportionate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compensation to non-minority male employees performing similar work on state contracts.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Based on the results of this undertaking, New York State may engage in further study of</w:t>
      </w:r>
    </w:p>
    <w:p w:rsid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disparities in pay, and investigate strategies for bridging any identified compensation gaps.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b/>
          <w:i/>
          <w:sz w:val="24"/>
          <w:szCs w:val="24"/>
        </w:rPr>
        <w:t>2. Will this data help New York State identify each cause of pay disparities?</w:t>
      </w:r>
      <w:r w:rsidRPr="00070B88">
        <w:rPr>
          <w:rFonts w:cstheme="minorHAnsi"/>
          <w:sz w:val="24"/>
          <w:szCs w:val="24"/>
        </w:rPr>
        <w:t xml:space="preserve"> No. The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collection of this data is a first step in understanding the extent to which pay disparities exist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in the workforce of contractors on state contracts. This data will provide New York State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with first of its kind insight into the existence or non-existence of pay disparities across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dozens of industries. However, this data is only the first step in New York State’s efforts to</w:t>
      </w:r>
    </w:p>
    <w:p w:rsid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identify and address pay disparities.</w:t>
      </w:r>
    </w:p>
    <w:p w:rsidR="009F44D9" w:rsidRDefault="009F44D9" w:rsidP="00FA057A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FA057A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070B88">
        <w:rPr>
          <w:rFonts w:cstheme="minorHAnsi"/>
          <w:b/>
          <w:i/>
          <w:sz w:val="24"/>
          <w:szCs w:val="24"/>
        </w:rPr>
        <w:t>3. I cannot identify the workforce used to perform my state contract.</w:t>
      </w:r>
      <w:r w:rsidRPr="00070B88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b/>
          <w:i/>
          <w:sz w:val="24"/>
          <w:szCs w:val="24"/>
        </w:rPr>
        <w:t>Do I need to provide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b/>
          <w:i/>
          <w:sz w:val="24"/>
          <w:szCs w:val="24"/>
        </w:rPr>
        <w:t>compensation information for my employees?</w:t>
      </w:r>
      <w:r w:rsidRPr="00070B88">
        <w:rPr>
          <w:rFonts w:cstheme="minorHAnsi"/>
          <w:sz w:val="24"/>
          <w:szCs w:val="24"/>
        </w:rPr>
        <w:t xml:space="preserve"> Some contractors are generally excluded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from the reporting requirement because their work will typically not yield data on the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compensation of individuals performing work specifically on a state contract, including:</w:t>
      </w:r>
    </w:p>
    <w:p w:rsidR="00070B88" w:rsidRPr="00D908B3" w:rsidRDefault="00070B88" w:rsidP="00FA057A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A contractor performing work on a state contract exclusively with employees who are</w:t>
      </w:r>
    </w:p>
    <w:p w:rsidR="00D908B3" w:rsidRDefault="00070B88" w:rsidP="00FA057A">
      <w:pPr>
        <w:spacing w:after="0" w:line="276" w:lineRule="auto"/>
        <w:ind w:firstLine="360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located outside of New York State;</w:t>
      </w:r>
    </w:p>
    <w:p w:rsidR="00D908B3" w:rsidRDefault="00070B88" w:rsidP="00FA057A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Any banking or financial institution engaged solely in processing financial transactions;</w:t>
      </w:r>
    </w:p>
    <w:p w:rsidR="00D908B3" w:rsidRPr="00D908B3" w:rsidRDefault="00070B88" w:rsidP="00FA057A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Any contractor engaged solely in licensing intellectual property to a state agency or</w:t>
      </w:r>
      <w:r w:rsidR="00D908B3" w:rsidRPr="00D908B3">
        <w:rPr>
          <w:rFonts w:cstheme="minorHAnsi"/>
          <w:sz w:val="24"/>
          <w:szCs w:val="24"/>
        </w:rPr>
        <w:t xml:space="preserve"> authority;</w:t>
      </w:r>
    </w:p>
    <w:p w:rsidR="00070B88" w:rsidRPr="00D908B3" w:rsidRDefault="00070B88" w:rsidP="00FA057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Primary and secondary school systems, and institutions of higher learning;</w:t>
      </w:r>
    </w:p>
    <w:p w:rsidR="00070B88" w:rsidRPr="00D908B3" w:rsidRDefault="00070B88" w:rsidP="00FA057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American Indian or Alaskan Native tribes; and</w:t>
      </w:r>
    </w:p>
    <w:p w:rsidR="00070B88" w:rsidRDefault="00070B88" w:rsidP="00FA057A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sz w:val="24"/>
          <w:szCs w:val="24"/>
        </w:rPr>
        <w:t>Any contractor organized in a country other than the United States of America.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All other con</w:t>
      </w:r>
      <w:r w:rsidR="00F93D74">
        <w:rPr>
          <w:rFonts w:cstheme="minorHAnsi"/>
          <w:sz w:val="24"/>
          <w:szCs w:val="24"/>
        </w:rPr>
        <w:t>tractors that are parties to a S</w:t>
      </w:r>
      <w:r w:rsidRPr="00070B88">
        <w:rPr>
          <w:rFonts w:cstheme="minorHAnsi"/>
          <w:sz w:val="24"/>
          <w:szCs w:val="24"/>
        </w:rPr>
        <w:t>tate contract, but cannot identify any of the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employees who perfo</w:t>
      </w:r>
      <w:r w:rsidR="00F93D74">
        <w:rPr>
          <w:rFonts w:cstheme="minorHAnsi"/>
          <w:sz w:val="24"/>
          <w:szCs w:val="24"/>
        </w:rPr>
        <w:t>rmed work specifically for the S</w:t>
      </w:r>
      <w:r w:rsidRPr="00070B88">
        <w:rPr>
          <w:rFonts w:cstheme="minorHAnsi"/>
          <w:sz w:val="24"/>
          <w:szCs w:val="24"/>
        </w:rPr>
        <w:t>tate contract, may submit a workforce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lastRenderedPageBreak/>
        <w:t>utilization report listing each of their New York State employees. Contractors that can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identify employees who perfo</w:t>
      </w:r>
      <w:r w:rsidR="00F93D74">
        <w:rPr>
          <w:rFonts w:cstheme="minorHAnsi"/>
          <w:sz w:val="24"/>
          <w:szCs w:val="24"/>
        </w:rPr>
        <w:t>rmed work specifically for the S</w:t>
      </w:r>
      <w:r w:rsidRPr="00070B88">
        <w:rPr>
          <w:rFonts w:cstheme="minorHAnsi"/>
          <w:sz w:val="24"/>
          <w:szCs w:val="24"/>
        </w:rPr>
        <w:t>tate contract should report</w:t>
      </w:r>
    </w:p>
    <w:p w:rsid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solely on those employees, and not their other employees.</w:t>
      </w:r>
    </w:p>
    <w:p w:rsidR="00FA057A" w:rsidRDefault="00FA057A" w:rsidP="00FA057A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070B88" w:rsidRPr="00620689" w:rsidRDefault="00070B88" w:rsidP="00FA057A">
      <w:pPr>
        <w:spacing w:after="0" w:line="276" w:lineRule="auto"/>
        <w:rPr>
          <w:rFonts w:cstheme="minorHAnsi"/>
          <w:b/>
          <w:sz w:val="28"/>
          <w:szCs w:val="28"/>
        </w:rPr>
      </w:pPr>
      <w:r w:rsidRPr="00620689">
        <w:rPr>
          <w:rFonts w:cstheme="minorHAnsi"/>
          <w:b/>
          <w:sz w:val="28"/>
          <w:szCs w:val="28"/>
        </w:rPr>
        <w:t>Compensation</w:t>
      </w:r>
    </w:p>
    <w:p w:rsidR="00FA057A" w:rsidRPr="00D908B3" w:rsidRDefault="00FA057A" w:rsidP="00FA057A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D908B3">
        <w:rPr>
          <w:rFonts w:cstheme="minorHAnsi"/>
          <w:b/>
          <w:i/>
          <w:sz w:val="24"/>
          <w:szCs w:val="24"/>
        </w:rPr>
        <w:t>4. What compensation to employees should contractors report?</w:t>
      </w:r>
      <w:r w:rsidRPr="00070B88">
        <w:rPr>
          <w:rFonts w:cstheme="minorHAnsi"/>
          <w:sz w:val="24"/>
          <w:szCs w:val="24"/>
        </w:rPr>
        <w:t xml:space="preserve"> Any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“Gross wages” which are reported by employers to employees on their wage statements.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Gross wages are defined more specifically by 20 NYCRR §2380.4 and typically include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every form of compensation for employment paid by an employer to his, her or its</w:t>
      </w:r>
    </w:p>
    <w:p w:rsidR="00210FD5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employees, whether paid directly or indirectly by the employer, including salaries,</w:t>
      </w:r>
    </w:p>
    <w:p w:rsidR="00070B88" w:rsidRP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commissions, bonuses, tips and the reasonable value of board, rent, housing, lodging or</w:t>
      </w:r>
    </w:p>
    <w:p w:rsidR="00070B88" w:rsidRDefault="00070B88" w:rsidP="00FA057A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similar advantage received.</w:t>
      </w:r>
    </w:p>
    <w:p w:rsidR="00F93D74" w:rsidRDefault="00F93D74" w:rsidP="00F93D74">
      <w:pPr>
        <w:spacing w:after="0" w:line="276" w:lineRule="auto"/>
        <w:rPr>
          <w:rFonts w:cstheme="minorHAnsi"/>
          <w:b/>
          <w:i/>
          <w:sz w:val="24"/>
          <w:szCs w:val="24"/>
        </w:rPr>
      </w:pPr>
    </w:p>
    <w:p w:rsidR="00070B88" w:rsidRPr="009F44D9" w:rsidRDefault="00070B88" w:rsidP="00F93D74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D908B3">
        <w:rPr>
          <w:rFonts w:cstheme="minorHAnsi"/>
          <w:b/>
          <w:i/>
          <w:sz w:val="24"/>
          <w:szCs w:val="24"/>
        </w:rPr>
        <w:t>5. My employees are not paid on an hourly basis</w:t>
      </w:r>
      <w:r w:rsidRPr="00D908B3">
        <w:rPr>
          <w:rFonts w:cstheme="minorHAnsi"/>
          <w:b/>
          <w:sz w:val="24"/>
          <w:szCs w:val="24"/>
        </w:rPr>
        <w:t>.</w:t>
      </w:r>
      <w:r w:rsidRPr="00070B88">
        <w:rPr>
          <w:rFonts w:cstheme="minorHAnsi"/>
          <w:sz w:val="24"/>
          <w:szCs w:val="24"/>
        </w:rPr>
        <w:t xml:space="preserve"> </w:t>
      </w:r>
      <w:r w:rsidRPr="009F44D9">
        <w:rPr>
          <w:rFonts w:cstheme="minorHAnsi"/>
          <w:b/>
          <w:i/>
          <w:sz w:val="24"/>
          <w:szCs w:val="24"/>
        </w:rPr>
        <w:t>How do I determine the compensation that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</w:rPr>
        <w:t xml:space="preserve">I should report in the </w:t>
      </w:r>
      <w:r w:rsidR="009F44D9">
        <w:rPr>
          <w:rFonts w:cstheme="minorHAnsi"/>
          <w:b/>
          <w:i/>
          <w:sz w:val="24"/>
          <w:szCs w:val="24"/>
        </w:rPr>
        <w:t>E.O. 162 Workforce Utilization R</w:t>
      </w:r>
      <w:r w:rsidRPr="009F44D9">
        <w:rPr>
          <w:rFonts w:cstheme="minorHAnsi"/>
          <w:b/>
          <w:i/>
          <w:sz w:val="24"/>
          <w:szCs w:val="24"/>
        </w:rPr>
        <w:t>eport?</w:t>
      </w:r>
      <w:r w:rsidRPr="00070B88">
        <w:rPr>
          <w:rFonts w:cstheme="minorHAnsi"/>
          <w:sz w:val="24"/>
          <w:szCs w:val="24"/>
        </w:rPr>
        <w:t xml:space="preserve"> For salaried individuals not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compensated on an hourly basis, the contractor shall first determine the average hourly gross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wages of such employees by dividing the employees’ total gross wages during the period by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the number of hours worked by such employees during these pay periods. After determining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the average hourly gross wages of salaried employees, contractors shall report the product of</w:t>
      </w:r>
    </w:p>
    <w:p w:rsidR="00070B88" w:rsidRP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such employees’ average hourly gross wages and the number of hours worked on the state</w:t>
      </w:r>
    </w:p>
    <w:p w:rsidR="00070B88" w:rsidRDefault="00070B88" w:rsidP="009B4CF2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contract.</w:t>
      </w:r>
    </w:p>
    <w:p w:rsidR="002879B3" w:rsidRDefault="002879B3" w:rsidP="009F44D9">
      <w:pPr>
        <w:spacing w:line="276" w:lineRule="auto"/>
        <w:rPr>
          <w:rFonts w:cstheme="minorHAnsi"/>
          <w:sz w:val="24"/>
          <w:szCs w:val="24"/>
          <w:u w:val="single"/>
        </w:rPr>
      </w:pPr>
    </w:p>
    <w:p w:rsidR="00070B88" w:rsidRPr="00620689" w:rsidRDefault="00070B88" w:rsidP="009F44D9">
      <w:pPr>
        <w:spacing w:line="276" w:lineRule="auto"/>
        <w:rPr>
          <w:rFonts w:cstheme="minorHAnsi"/>
          <w:b/>
          <w:sz w:val="28"/>
          <w:szCs w:val="28"/>
        </w:rPr>
      </w:pPr>
      <w:r w:rsidRPr="00620689">
        <w:rPr>
          <w:rFonts w:cstheme="minorHAnsi"/>
          <w:b/>
          <w:sz w:val="28"/>
          <w:szCs w:val="28"/>
        </w:rPr>
        <w:t>Employees</w:t>
      </w:r>
    </w:p>
    <w:p w:rsidR="00070B88" w:rsidRPr="009F44D9" w:rsidRDefault="00070B88" w:rsidP="002879B3">
      <w:pPr>
        <w:spacing w:after="0" w:line="276" w:lineRule="auto"/>
        <w:rPr>
          <w:rFonts w:cstheme="minorHAnsi"/>
          <w:b/>
          <w:sz w:val="24"/>
          <w:szCs w:val="24"/>
        </w:rPr>
      </w:pPr>
      <w:r w:rsidRPr="009F44D9">
        <w:rPr>
          <w:rFonts w:cstheme="minorHAnsi"/>
          <w:b/>
          <w:sz w:val="24"/>
          <w:szCs w:val="24"/>
        </w:rPr>
        <w:t>6. For employers reporting on their entire workforce, which employees should be included in</w:t>
      </w:r>
    </w:p>
    <w:p w:rsidR="00070B88" w:rsidRDefault="009F44D9" w:rsidP="002879B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E.O. 162 Workforce Utilization R</w:t>
      </w:r>
      <w:r w:rsidRPr="009F44D9">
        <w:rPr>
          <w:rFonts w:cstheme="minorHAnsi"/>
          <w:b/>
          <w:i/>
          <w:sz w:val="24"/>
          <w:szCs w:val="24"/>
        </w:rPr>
        <w:t>eport</w:t>
      </w:r>
      <w:r w:rsidR="00070B88" w:rsidRPr="009F44D9">
        <w:rPr>
          <w:rFonts w:cstheme="minorHAnsi"/>
          <w:b/>
          <w:sz w:val="24"/>
          <w:szCs w:val="24"/>
        </w:rPr>
        <w:t>?</w:t>
      </w:r>
      <w:r w:rsidR="00070B88" w:rsidRPr="00070B88">
        <w:rPr>
          <w:rFonts w:cstheme="minorHAnsi"/>
          <w:sz w:val="24"/>
          <w:szCs w:val="24"/>
        </w:rPr>
        <w:t xml:space="preserve"> Employers selecting “Contractor/Subcontractor’s Total Workforce” on the</w:t>
      </w:r>
      <w:r w:rsidR="002879B3">
        <w:rPr>
          <w:rFonts w:cstheme="minorHAnsi"/>
          <w:sz w:val="24"/>
          <w:szCs w:val="24"/>
        </w:rPr>
        <w:t xml:space="preserve"> </w:t>
      </w:r>
      <w:r w:rsidR="002879B3" w:rsidRPr="002879B3">
        <w:rPr>
          <w:rFonts w:cstheme="minorHAnsi"/>
          <w:i/>
          <w:sz w:val="24"/>
          <w:szCs w:val="24"/>
        </w:rPr>
        <w:t>E.O. 162 Workforce Utilization Report</w:t>
      </w:r>
      <w:r w:rsidR="002879B3" w:rsidRPr="00070B88">
        <w:rPr>
          <w:rFonts w:cstheme="minorHAnsi"/>
          <w:sz w:val="24"/>
          <w:szCs w:val="24"/>
        </w:rPr>
        <w:t xml:space="preserve"> </w:t>
      </w:r>
      <w:r w:rsidR="00070B88" w:rsidRPr="00070B88">
        <w:rPr>
          <w:rFonts w:cstheme="minorHAnsi"/>
          <w:sz w:val="24"/>
          <w:szCs w:val="24"/>
        </w:rPr>
        <w:t>should include all employees of the contractor or subcontractor</w:t>
      </w:r>
      <w:r w:rsidR="002879B3">
        <w:rPr>
          <w:rFonts w:cstheme="minorHAnsi"/>
          <w:sz w:val="24"/>
          <w:szCs w:val="24"/>
        </w:rPr>
        <w:t xml:space="preserve"> </w:t>
      </w:r>
      <w:r w:rsidR="00070B88" w:rsidRPr="00070B88">
        <w:rPr>
          <w:rFonts w:cstheme="minorHAnsi"/>
          <w:sz w:val="24"/>
          <w:szCs w:val="24"/>
        </w:rPr>
        <w:t>performing work in New York State.</w:t>
      </w:r>
    </w:p>
    <w:p w:rsidR="009F44D9" w:rsidRPr="00070B88" w:rsidRDefault="009F44D9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sz w:val="24"/>
          <w:szCs w:val="24"/>
          <w:u w:val="single"/>
        </w:rPr>
        <w:t>7. Which employees perform work directly on a state contract?</w:t>
      </w:r>
      <w:r w:rsidRPr="00070B88">
        <w:rPr>
          <w:rFonts w:cstheme="minorHAnsi"/>
          <w:sz w:val="24"/>
          <w:szCs w:val="24"/>
        </w:rPr>
        <w:t xml:space="preserve"> Employees performing work</w:t>
      </w:r>
    </w:p>
    <w:p w:rsidR="00070B88" w:rsidRPr="00070B88" w:rsidRDefault="00F93D74" w:rsidP="002879B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directly on a S</w:t>
      </w:r>
      <w:r w:rsidR="00070B88" w:rsidRPr="00070B88">
        <w:rPr>
          <w:rFonts w:cstheme="minorHAnsi"/>
          <w:sz w:val="24"/>
          <w:szCs w:val="24"/>
        </w:rPr>
        <w:t>tate contract are those who perform one or more tasks for the exclusive purpose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of satisfying their employer’s obligations under a state contract. By way of example,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members of a contractor’s human resources department typically do not perform work</w:t>
      </w:r>
    </w:p>
    <w:p w:rsid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directly on a state contract.</w:t>
      </w:r>
    </w:p>
    <w:p w:rsidR="009F44D9" w:rsidRPr="00070B88" w:rsidRDefault="009F44D9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sz w:val="24"/>
          <w:szCs w:val="24"/>
          <w:u w:val="single"/>
        </w:rPr>
        <w:t>8. How will New York State account for differing titles between employers?</w:t>
      </w:r>
      <w:r w:rsidRPr="00070B88">
        <w:rPr>
          <w:rFonts w:cstheme="minorHAnsi"/>
          <w:sz w:val="24"/>
          <w:szCs w:val="24"/>
        </w:rPr>
        <w:t xml:space="preserve"> All employees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must be reported under a Standard Occupational Classification (SOC) code. SOC codes are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lastRenderedPageBreak/>
        <w:t>established and defined by the U.S. Bureau of Labor Statistics. Contractors must select the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SOC code most closely corresponding to the roles performed by their employees, and may</w:t>
      </w:r>
    </w:p>
    <w:p w:rsid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not use titles assigned by their organizations.</w:t>
      </w:r>
    </w:p>
    <w:p w:rsidR="002879B3" w:rsidRPr="00070B88" w:rsidRDefault="002879B3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2879B3">
        <w:rPr>
          <w:rFonts w:cstheme="minorHAnsi"/>
          <w:b/>
          <w:i/>
          <w:sz w:val="24"/>
          <w:szCs w:val="24"/>
        </w:rPr>
        <w:t xml:space="preserve">9. How do I determine the number of hours to include in the </w:t>
      </w:r>
      <w:r w:rsidR="002879B3" w:rsidRPr="002879B3">
        <w:rPr>
          <w:rFonts w:cstheme="minorHAnsi"/>
          <w:b/>
          <w:i/>
          <w:sz w:val="24"/>
          <w:szCs w:val="24"/>
        </w:rPr>
        <w:t>E.O. 162 Workforce Utilization Report</w:t>
      </w:r>
      <w:r w:rsidRPr="002879B3">
        <w:rPr>
          <w:rFonts w:cstheme="minorHAnsi"/>
          <w:b/>
          <w:i/>
          <w:sz w:val="24"/>
          <w:szCs w:val="24"/>
        </w:rPr>
        <w:t>?</w:t>
      </w:r>
      <w:r w:rsidR="002879B3">
        <w:rPr>
          <w:rFonts w:cstheme="minorHAnsi"/>
          <w:b/>
          <w:i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>Generally, prime contractors and subcontractors shall report the number of hours worked by</w:t>
      </w:r>
      <w:r w:rsidR="002879B3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>each employee under each applicable SOC code during the period covered by a workforce</w:t>
      </w:r>
      <w:r w:rsidR="002879B3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>utilization report. However, agencies and authorities may approve an alternative schedule</w:t>
      </w:r>
      <w:r w:rsidR="002879B3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>based upon the pay periods of contractors at the sole discretion of such agencies and</w:t>
      </w:r>
    </w:p>
    <w:p w:rsid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authorities.</w:t>
      </w:r>
    </w:p>
    <w:p w:rsidR="009F44D9" w:rsidRPr="00070B88" w:rsidRDefault="009F44D9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620689" w:rsidRDefault="00070B88" w:rsidP="002879B3">
      <w:pPr>
        <w:spacing w:after="0" w:line="276" w:lineRule="auto"/>
        <w:rPr>
          <w:rFonts w:cstheme="minorHAnsi"/>
          <w:b/>
          <w:sz w:val="28"/>
          <w:szCs w:val="28"/>
        </w:rPr>
      </w:pPr>
      <w:r w:rsidRPr="00620689">
        <w:rPr>
          <w:rFonts w:cstheme="minorHAnsi"/>
          <w:b/>
          <w:sz w:val="28"/>
          <w:szCs w:val="28"/>
        </w:rPr>
        <w:t>Reporting Procedures</w:t>
      </w:r>
    </w:p>
    <w:p w:rsidR="00AD3E0B" w:rsidRDefault="00AD3E0B" w:rsidP="002879B3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  <w:u w:val="single"/>
        </w:rPr>
        <w:t>10. When should reports be submitted?</w:t>
      </w:r>
      <w:r w:rsidRPr="00070B88">
        <w:rPr>
          <w:rFonts w:cstheme="minorHAnsi"/>
          <w:sz w:val="24"/>
          <w:szCs w:val="24"/>
        </w:rPr>
        <w:t xml:space="preserve"> Reports must be submitted by contractors during the</w:t>
      </w:r>
    </w:p>
    <w:p w:rsid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term of state contracts subje</w:t>
      </w:r>
      <w:r w:rsidR="0028250E">
        <w:rPr>
          <w:rFonts w:cstheme="minorHAnsi"/>
          <w:sz w:val="24"/>
          <w:szCs w:val="24"/>
        </w:rPr>
        <w:t xml:space="preserve">ct to the reporting requirement. </w:t>
      </w:r>
      <w:bookmarkStart w:id="0" w:name="_GoBack"/>
      <w:bookmarkEnd w:id="0"/>
      <w:r w:rsidRPr="00070B88">
        <w:rPr>
          <w:rFonts w:cstheme="minorHAnsi"/>
          <w:sz w:val="24"/>
          <w:szCs w:val="24"/>
        </w:rPr>
        <w:t xml:space="preserve">For construction contracts, </w:t>
      </w:r>
      <w:r w:rsidR="00D03E80">
        <w:rPr>
          <w:rFonts w:cstheme="minorHAnsi"/>
          <w:sz w:val="24"/>
          <w:szCs w:val="24"/>
        </w:rPr>
        <w:t>[</w:t>
      </w:r>
      <w:r w:rsidRPr="00070B88">
        <w:rPr>
          <w:rFonts w:cstheme="minorHAnsi"/>
          <w:sz w:val="24"/>
          <w:szCs w:val="24"/>
        </w:rPr>
        <w:t>reports</w:t>
      </w:r>
      <w:r w:rsidR="00D03E80">
        <w:rPr>
          <w:rFonts w:cstheme="minorHAnsi"/>
          <w:sz w:val="24"/>
          <w:szCs w:val="24"/>
        </w:rPr>
        <w:t xml:space="preserve">, including gross wage information, </w:t>
      </w:r>
      <w:r w:rsidRPr="00070B88">
        <w:rPr>
          <w:rFonts w:cstheme="minorHAnsi"/>
          <w:sz w:val="24"/>
          <w:szCs w:val="24"/>
        </w:rPr>
        <w:t>are due ten days following the end of the</w:t>
      </w:r>
      <w:r w:rsidR="00D03E80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>first month of the term of the contract and each month thereafter. For all other contracts,</w:t>
      </w:r>
      <w:r w:rsidR="00D03E80">
        <w:rPr>
          <w:rFonts w:cstheme="minorHAnsi"/>
          <w:sz w:val="24"/>
          <w:szCs w:val="24"/>
        </w:rPr>
        <w:t xml:space="preserve"> </w:t>
      </w:r>
      <w:r w:rsidRPr="00070B88">
        <w:rPr>
          <w:rFonts w:cstheme="minorHAnsi"/>
          <w:sz w:val="24"/>
          <w:szCs w:val="24"/>
        </w:rPr>
        <w:t xml:space="preserve">reports are due </w:t>
      </w:r>
      <w:r w:rsidR="00D03E80">
        <w:rPr>
          <w:rFonts w:cstheme="minorHAnsi"/>
          <w:sz w:val="24"/>
          <w:szCs w:val="24"/>
        </w:rPr>
        <w:t>ten days</w:t>
      </w:r>
      <w:r w:rsidRPr="00070B88">
        <w:rPr>
          <w:rFonts w:cstheme="minorHAnsi"/>
          <w:sz w:val="24"/>
          <w:szCs w:val="24"/>
        </w:rPr>
        <w:t xml:space="preserve"> following the end of the first quarter of the term of the contract and each quarter thereafter.</w:t>
      </w:r>
      <w:r w:rsidR="00D03E80">
        <w:rPr>
          <w:rFonts w:cstheme="minorHAnsi"/>
          <w:sz w:val="24"/>
          <w:szCs w:val="24"/>
        </w:rPr>
        <w:t xml:space="preserve">] </w:t>
      </w:r>
    </w:p>
    <w:p w:rsidR="002879B3" w:rsidRPr="00070B88" w:rsidRDefault="002879B3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</w:rPr>
        <w:t>11. Who is responsible for reporting on subcontractors’ workforces?</w:t>
      </w:r>
      <w:r w:rsidRPr="00070B88">
        <w:rPr>
          <w:rFonts w:cstheme="minorHAnsi"/>
          <w:sz w:val="24"/>
          <w:szCs w:val="24"/>
        </w:rPr>
        <w:t xml:space="preserve"> The prime contractor, the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entit</w:t>
      </w:r>
      <w:r w:rsidR="00F93D74">
        <w:rPr>
          <w:rFonts w:cstheme="minorHAnsi"/>
          <w:sz w:val="24"/>
          <w:szCs w:val="24"/>
        </w:rPr>
        <w:t>y engaged in a contract with a S</w:t>
      </w:r>
      <w:r w:rsidRPr="00070B88">
        <w:rPr>
          <w:rFonts w:cstheme="minorHAnsi"/>
          <w:sz w:val="24"/>
          <w:szCs w:val="24"/>
        </w:rPr>
        <w:t>tate agency or authority, is responsible for collecting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reports from each of the subcontractors performing work on the state contract or, if directed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by a state agency or authority, ensuring that such subcontractors submit workforce utilization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reports in such manner as the agency or</w:t>
      </w:r>
      <w:r w:rsidR="00F93D74">
        <w:rPr>
          <w:rFonts w:cstheme="minorHAnsi"/>
          <w:sz w:val="24"/>
          <w:szCs w:val="24"/>
        </w:rPr>
        <w:t xml:space="preserve"> authority shall require. Each S</w:t>
      </w:r>
      <w:r w:rsidRPr="00070B88">
        <w:rPr>
          <w:rFonts w:cstheme="minorHAnsi"/>
          <w:sz w:val="24"/>
          <w:szCs w:val="24"/>
        </w:rPr>
        <w:t>tate contract requires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prime contractors to include language in any subcontracts requiring subcontractors to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complete workforce utilization reports.</w:t>
      </w:r>
    </w:p>
    <w:p w:rsidR="009F44D9" w:rsidRDefault="009F44D9" w:rsidP="002879B3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070B88" w:rsidRPr="00620689" w:rsidRDefault="00070B88" w:rsidP="002879B3">
      <w:pPr>
        <w:spacing w:after="0" w:line="276" w:lineRule="auto"/>
        <w:rPr>
          <w:rFonts w:cstheme="minorHAnsi"/>
          <w:b/>
          <w:sz w:val="28"/>
          <w:szCs w:val="28"/>
        </w:rPr>
      </w:pPr>
      <w:r w:rsidRPr="00620689">
        <w:rPr>
          <w:rFonts w:cstheme="minorHAnsi"/>
          <w:b/>
          <w:sz w:val="28"/>
          <w:szCs w:val="28"/>
        </w:rPr>
        <w:t>Confidentiality</w:t>
      </w:r>
    </w:p>
    <w:p w:rsidR="009B4CF2" w:rsidRDefault="009B4CF2" w:rsidP="002879B3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</w:rPr>
        <w:t>12. Will compensation data be collected in the aggregate?</w:t>
      </w:r>
      <w:r w:rsidRPr="00070B88">
        <w:rPr>
          <w:rFonts w:cstheme="minorHAnsi"/>
          <w:sz w:val="24"/>
          <w:szCs w:val="24"/>
        </w:rPr>
        <w:t xml:space="preserve"> In cases where two or more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employees of a contractor are members of the same racial/ethnic group, share the same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 xml:space="preserve">gender, and fall under the same SOC Job Title for the work they both perform on a </w:t>
      </w:r>
      <w:r w:rsidR="00F93D74">
        <w:rPr>
          <w:rFonts w:cstheme="minorHAnsi"/>
          <w:sz w:val="24"/>
          <w:szCs w:val="24"/>
        </w:rPr>
        <w:t>S</w:t>
      </w:r>
      <w:r w:rsidRPr="00070B88">
        <w:rPr>
          <w:rFonts w:cstheme="minorHAnsi"/>
          <w:sz w:val="24"/>
          <w:szCs w:val="24"/>
        </w:rPr>
        <w:t>tate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 xml:space="preserve">contract, the contractor shall report gross wages paid to </w:t>
      </w:r>
      <w:r w:rsidR="00F93D74">
        <w:rPr>
          <w:rFonts w:cstheme="minorHAnsi"/>
          <w:sz w:val="24"/>
          <w:szCs w:val="24"/>
        </w:rPr>
        <w:t>such employees for work on the S</w:t>
      </w:r>
      <w:r w:rsidRPr="00070B88">
        <w:rPr>
          <w:rFonts w:cstheme="minorHAnsi"/>
          <w:sz w:val="24"/>
          <w:szCs w:val="24"/>
        </w:rPr>
        <w:t>tate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contract in the aggregate. However, in cases where a contractor employs an individual who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does not share these characteristics with other employees performing work on the state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contract, the contractor must report that employee’s gross wages individually.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By way of example, if a contractor employs two Hispanic-American men as electricians and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lastRenderedPageBreak/>
        <w:t>one Caucasian woman as an insulation worker on a state contract, the contractor should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report the combined gross wages of the two Hispanic-American men employed in the same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job title as one entry on the workforce utilization report. The contractor should report the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gross wages of the Caucasian woman as one entry on the workforce utilization report as she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is the only Caucasian woman emp</w:t>
      </w:r>
      <w:r w:rsidR="00F93D74">
        <w:rPr>
          <w:rFonts w:cstheme="minorHAnsi"/>
          <w:sz w:val="24"/>
          <w:szCs w:val="24"/>
        </w:rPr>
        <w:t>loyed by the contractor on the S</w:t>
      </w:r>
      <w:r w:rsidRPr="00070B88">
        <w:rPr>
          <w:rFonts w:cstheme="minorHAnsi"/>
          <w:sz w:val="24"/>
          <w:szCs w:val="24"/>
        </w:rPr>
        <w:t>tate contract under the title</w:t>
      </w:r>
    </w:p>
    <w:p w:rsid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of insulation worker.</w:t>
      </w:r>
    </w:p>
    <w:p w:rsidR="009B4CF2" w:rsidRPr="00070B88" w:rsidRDefault="009B4CF2" w:rsidP="002879B3">
      <w:pPr>
        <w:spacing w:after="0" w:line="276" w:lineRule="auto"/>
        <w:rPr>
          <w:rFonts w:cstheme="minorHAnsi"/>
          <w:sz w:val="24"/>
          <w:szCs w:val="24"/>
        </w:rPr>
      </w:pPr>
    </w:p>
    <w:p w:rsidR="00070B88" w:rsidRPr="009F44D9" w:rsidRDefault="00070B88" w:rsidP="002879B3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</w:rPr>
        <w:t>13. How will New York State prevent my competitors from learning my compensation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9F44D9">
        <w:rPr>
          <w:rFonts w:cstheme="minorHAnsi"/>
          <w:b/>
          <w:i/>
          <w:sz w:val="24"/>
          <w:szCs w:val="24"/>
        </w:rPr>
        <w:t>arrangements?</w:t>
      </w:r>
      <w:r w:rsidRPr="00070B88">
        <w:rPr>
          <w:rFonts w:cstheme="minorHAnsi"/>
          <w:sz w:val="24"/>
          <w:szCs w:val="24"/>
        </w:rPr>
        <w:t xml:space="preserve"> New York State agencies and authorities will inform contractors of any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requests under the Freedom of Information Law (FOIL) for workforce utilization reports they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have submitted, and will vigorously seek to withhold any information that contractors or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subcontractors establish would harm the competitive position of the contractor or</w:t>
      </w:r>
    </w:p>
    <w:p w:rsidR="00070B88" w:rsidRPr="00070B88" w:rsidRDefault="00070B88" w:rsidP="002879B3">
      <w:pPr>
        <w:spacing w:after="0" w:line="276" w:lineRule="auto"/>
        <w:rPr>
          <w:rFonts w:cstheme="minorHAnsi"/>
          <w:sz w:val="24"/>
          <w:szCs w:val="24"/>
        </w:rPr>
      </w:pPr>
      <w:r w:rsidRPr="00070B88">
        <w:rPr>
          <w:rFonts w:cstheme="minorHAnsi"/>
          <w:sz w:val="24"/>
          <w:szCs w:val="24"/>
        </w:rPr>
        <w:t>subcontractor pursuant to § 87(2)(d) of the Public Officers Law.</w:t>
      </w:r>
    </w:p>
    <w:sectPr w:rsidR="00070B88" w:rsidRPr="00070B88" w:rsidSect="009B4CF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FC" w:rsidRDefault="00D509FC" w:rsidP="009F44D9">
      <w:pPr>
        <w:spacing w:after="0" w:line="240" w:lineRule="auto"/>
      </w:pPr>
      <w:r>
        <w:separator/>
      </w:r>
    </w:p>
  </w:endnote>
  <w:endnote w:type="continuationSeparator" w:id="0">
    <w:p w:rsidR="00D509FC" w:rsidRDefault="00D509FC" w:rsidP="009F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0095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A057A" w:rsidRDefault="00FA057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50E" w:rsidRPr="0028250E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A057A" w:rsidRDefault="00FA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FC" w:rsidRDefault="00D509FC" w:rsidP="009F44D9">
      <w:pPr>
        <w:spacing w:after="0" w:line="240" w:lineRule="auto"/>
      </w:pPr>
      <w:r>
        <w:separator/>
      </w:r>
    </w:p>
  </w:footnote>
  <w:footnote w:type="continuationSeparator" w:id="0">
    <w:p w:rsidR="00D509FC" w:rsidRDefault="00D509FC" w:rsidP="009F44D9">
      <w:pPr>
        <w:spacing w:after="0" w:line="240" w:lineRule="auto"/>
      </w:pPr>
      <w:r>
        <w:continuationSeparator/>
      </w:r>
    </w:p>
  </w:footnote>
  <w:footnote w:id="1">
    <w:p w:rsidR="002879B3" w:rsidRDefault="002879B3">
      <w:pPr>
        <w:pStyle w:val="FootnoteText"/>
      </w:pPr>
      <w:r>
        <w:rPr>
          <w:rStyle w:val="FootnoteReference"/>
        </w:rPr>
        <w:footnoteRef/>
      </w:r>
      <w:r>
        <w:t xml:space="preserve"> This information </w:t>
      </w:r>
      <w:r w:rsidR="009B4CF2">
        <w:t>i</w:t>
      </w:r>
      <w:r>
        <w:t xml:space="preserve">s provided </w:t>
      </w:r>
      <w:r w:rsidR="009B4CF2">
        <w:t xml:space="preserve">courtesy of </w:t>
      </w:r>
      <w:r>
        <w:t xml:space="preserve">the </w:t>
      </w:r>
      <w:r w:rsidR="009B4CF2">
        <w:t xml:space="preserve">New York State </w:t>
      </w:r>
      <w:r>
        <w:t xml:space="preserve">Empire State Development.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4D9" w:rsidRDefault="009F44D9">
    <w:pPr>
      <w:pStyle w:val="Header"/>
    </w:pPr>
  </w:p>
  <w:p w:rsidR="009F44D9" w:rsidRDefault="009F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F2" w:rsidRDefault="009B4CF2" w:rsidP="009B4CF2">
    <w:pPr>
      <w:pStyle w:val="Header"/>
      <w:ind w:left="-540"/>
    </w:pPr>
    <w:r>
      <w:rPr>
        <w:noProof/>
      </w:rPr>
      <w:drawing>
        <wp:inline distT="0" distB="0" distL="0" distR="0" wp14:anchorId="689E9CAD" wp14:editId="27ED8280">
          <wp:extent cx="2243455" cy="9817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7BA7"/>
    <w:multiLevelType w:val="hybridMultilevel"/>
    <w:tmpl w:val="B796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D6B"/>
    <w:multiLevelType w:val="hybridMultilevel"/>
    <w:tmpl w:val="FF34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88"/>
    <w:rsid w:val="00070B88"/>
    <w:rsid w:val="00086907"/>
    <w:rsid w:val="000A58C9"/>
    <w:rsid w:val="00210FD5"/>
    <w:rsid w:val="0028250E"/>
    <w:rsid w:val="002879B3"/>
    <w:rsid w:val="00620689"/>
    <w:rsid w:val="006C66A6"/>
    <w:rsid w:val="007B40B9"/>
    <w:rsid w:val="0093489E"/>
    <w:rsid w:val="009B4CF2"/>
    <w:rsid w:val="009F44D9"/>
    <w:rsid w:val="00AD3E0B"/>
    <w:rsid w:val="00D03E80"/>
    <w:rsid w:val="00D509FC"/>
    <w:rsid w:val="00D908B3"/>
    <w:rsid w:val="00F93D74"/>
    <w:rsid w:val="00F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AD1A"/>
  <w15:chartTrackingRefBased/>
  <w15:docId w15:val="{4DFFF2A7-CF20-4806-B960-5BCB74B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4D9"/>
  </w:style>
  <w:style w:type="paragraph" w:styleId="Footer">
    <w:name w:val="footer"/>
    <w:basedOn w:val="Normal"/>
    <w:link w:val="FooterChar"/>
    <w:uiPriority w:val="99"/>
    <w:unhideWhenUsed/>
    <w:rsid w:val="009F4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4D9"/>
  </w:style>
  <w:style w:type="paragraph" w:styleId="FootnoteText">
    <w:name w:val="footnote text"/>
    <w:basedOn w:val="Normal"/>
    <w:link w:val="FootnoteTextChar"/>
    <w:uiPriority w:val="99"/>
    <w:semiHidden/>
    <w:unhideWhenUsed/>
    <w:rsid w:val="002879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9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9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B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93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7133-DEA7-4C52-A562-93D92EE5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Monica</dc:creator>
  <cp:keywords/>
  <dc:description/>
  <cp:lastModifiedBy>Norris, Monica</cp:lastModifiedBy>
  <cp:revision>3</cp:revision>
  <cp:lastPrinted>2018-03-16T18:54:00Z</cp:lastPrinted>
  <dcterms:created xsi:type="dcterms:W3CDTF">2018-03-16T20:59:00Z</dcterms:created>
  <dcterms:modified xsi:type="dcterms:W3CDTF">2018-03-16T21:00:00Z</dcterms:modified>
</cp:coreProperties>
</file>